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1B" w:rsidRPr="00803592" w:rsidRDefault="0031091B" w:rsidP="007C02CD">
      <w:pPr>
        <w:pBdr>
          <w:top w:val="single" w:sz="4" w:space="1" w:color="auto"/>
          <w:left w:val="single" w:sz="4" w:space="4" w:color="auto"/>
          <w:bottom w:val="single" w:sz="4" w:space="1" w:color="auto"/>
          <w:right w:val="single" w:sz="4" w:space="4" w:color="auto"/>
        </w:pBdr>
        <w:rPr>
          <w:sz w:val="16"/>
          <w:szCs w:val="16"/>
        </w:rPr>
      </w:pPr>
      <w:bookmarkStart w:id="0" w:name="_GoBack"/>
      <w:bookmarkEnd w:id="0"/>
      <w:r w:rsidRPr="00803592">
        <w:t xml:space="preserve">En application de la directive 2014/65/UE relative aux marchés d’instruments financiers dite « Directive MIF 2 », la Caisse régionale du Crédit Agricole Mutuel </w:t>
      </w:r>
      <w:r w:rsidR="007C02CD">
        <w:t xml:space="preserve"> TOULOUSE 31 </w:t>
      </w:r>
      <w:r w:rsidRPr="00803592">
        <w:t xml:space="preserve">établit et publie annuellement, pour chaque catégorie d'instruments financiers, le classement des principaux intermédiaires auxquels sont transmis les ordres émanant de ses clients pour exécution au cours de l’année précédente ainsi que les informations concernant la qualité d’exécution obtenue. Ces informations sont communiquées dans le cadre du service de réception transmission d’ordres fourni aux clients « non professionnels » et « professionnels » de la Caisse régionale du Crédit Agricole Mutuel </w:t>
      </w:r>
      <w:r w:rsidR="007C02CD">
        <w:t xml:space="preserve"> TOULOUSE 31</w:t>
      </w:r>
    </w:p>
    <w:p w:rsidR="00781AB9" w:rsidRDefault="00781AB9" w:rsidP="00781AB9">
      <w:pPr>
        <w:pStyle w:val="Paragraphedeliste"/>
        <w:ind w:left="0"/>
        <w:rPr>
          <w:sz w:val="24"/>
          <w:szCs w:val="24"/>
        </w:rPr>
      </w:pPr>
      <w:r w:rsidRPr="00781AB9">
        <w:rPr>
          <w:noProof/>
          <w:sz w:val="24"/>
          <w:szCs w:val="24"/>
          <w:lang w:eastAsia="fr-FR"/>
        </w:rPr>
        <mc:AlternateContent>
          <mc:Choice Requires="wps">
            <w:drawing>
              <wp:anchor distT="0" distB="0" distL="114300" distR="114300" simplePos="0" relativeHeight="251659264" behindDoc="0" locked="0" layoutInCell="1" allowOverlap="1" wp14:anchorId="7AA8EF6F" wp14:editId="3DF67DC5">
                <wp:simplePos x="0" y="0"/>
                <wp:positionH relativeFrom="column">
                  <wp:posOffset>-355325</wp:posOffset>
                </wp:positionH>
                <wp:positionV relativeFrom="paragraph">
                  <wp:posOffset>5368</wp:posOffset>
                </wp:positionV>
                <wp:extent cx="7323203" cy="215265"/>
                <wp:effectExtent l="0" t="0" r="0" b="0"/>
                <wp:wrapNone/>
                <wp:docPr id="7" name="Rectangle 6"/>
                <wp:cNvGraphicFramePr/>
                <a:graphic xmlns:a="http://schemas.openxmlformats.org/drawingml/2006/main">
                  <a:graphicData uri="http://schemas.microsoft.com/office/word/2010/wordprocessingShape">
                    <wps:wsp>
                      <wps:cNvSpPr/>
                      <wps:spPr>
                        <a:xfrm>
                          <a:off x="0" y="0"/>
                          <a:ext cx="7323203" cy="215265"/>
                        </a:xfrm>
                        <a:prstGeom prst="rect">
                          <a:avLst/>
                        </a:prstGeom>
                        <a:solidFill>
                          <a:schemeClr val="accent3">
                            <a:lumMod val="75000"/>
                          </a:schemeClr>
                        </a:solidFill>
                      </wps:spPr>
                      <wps:txbx>
                        <w:txbxContent>
                          <w:p w:rsidR="00781AB9" w:rsidRPr="00803592" w:rsidRDefault="00781AB9" w:rsidP="00781AB9">
                            <w:pPr>
                              <w:pStyle w:val="NormalWeb"/>
                              <w:spacing w:before="0" w:beforeAutospacing="0" w:after="0" w:afterAutospacing="0"/>
                              <w:ind w:right="1150"/>
                              <w:rPr>
                                <w:sz w:val="20"/>
                                <w:szCs w:val="20"/>
                              </w:rPr>
                            </w:pPr>
                            <w:r w:rsidRPr="00803592">
                              <w:rPr>
                                <w:rFonts w:ascii="Arial Narrow" w:hAnsi="Arial Narrow" w:cstheme="minorBidi"/>
                                <w:b/>
                                <w:bCs/>
                                <w:i/>
                                <w:iCs/>
                                <w:color w:val="FFFFFF" w:themeColor="background1"/>
                                <w:kern w:val="24"/>
                                <w:sz w:val="20"/>
                                <w:szCs w:val="20"/>
                              </w:rPr>
                              <w:t xml:space="preserve">Critères d’évaluation de la qualité d’exécution </w:t>
                            </w:r>
                          </w:p>
                        </w:txbxContent>
                      </wps:txbx>
                      <wps:bodyPr wrap="square" lIns="36000" rIns="36000">
                        <a:spAutoFit/>
                      </wps:bodyPr>
                    </wps:wsp>
                  </a:graphicData>
                </a:graphic>
                <wp14:sizeRelH relativeFrom="margin">
                  <wp14:pctWidth>0</wp14:pctWidth>
                </wp14:sizeRelH>
              </wp:anchor>
            </w:drawing>
          </mc:Choice>
          <mc:Fallback>
            <w:pict>
              <v:rect id="Rectangle 6" o:spid="_x0000_s1026" style="position:absolute;margin-left:-28pt;margin-top:.4pt;width:576.65pt;height:1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" fillcolor="#76923c [2406]" stroked="f">
                <v:textbox style="mso-fit-shape-to-text:t" inset="1mm,,1mm">
                  <w:txbxContent>
                    <w:p w:rsidR="00781AB9" w:rsidRPr="00803592" w:rsidRDefault="00781AB9" w:rsidP="00781AB9">
                      <w:pPr>
                        <w:pStyle w:val="NormalWeb"/>
                        <w:spacing w:before="0" w:beforeAutospacing="0" w:after="0" w:afterAutospacing="0"/>
                        <w:ind w:right="1150"/>
                        <w:rPr>
                          <w:sz w:val="20"/>
                          <w:szCs w:val="20"/>
                        </w:rPr>
                      </w:pPr>
                      <w:r w:rsidRPr="00803592">
                        <w:rPr>
                          <w:rFonts w:ascii="Arial Narrow" w:hAnsi="Arial Narrow" w:cstheme="minorBidi"/>
                          <w:b/>
                          <w:bCs/>
                          <w:i/>
                          <w:iCs/>
                          <w:color w:val="FFFFFF" w:themeColor="background1"/>
                          <w:kern w:val="24"/>
                          <w:sz w:val="20"/>
                          <w:szCs w:val="20"/>
                        </w:rPr>
                        <w:t xml:space="preserve">Critères d’évaluation de la qualité d’exécution </w:t>
                      </w:r>
                    </w:p>
                  </w:txbxContent>
                </v:textbox>
              </v:rect>
            </w:pict>
          </mc:Fallback>
        </mc:AlternateContent>
      </w:r>
    </w:p>
    <w:p w:rsidR="00781AB9" w:rsidRPr="00803592" w:rsidRDefault="00781AB9" w:rsidP="00781AB9">
      <w:pPr>
        <w:pStyle w:val="Paragraphedeliste"/>
        <w:ind w:left="0"/>
        <w:rPr>
          <w:sz w:val="16"/>
          <w:szCs w:val="16"/>
        </w:rPr>
      </w:pPr>
    </w:p>
    <w:p w:rsidR="000547F9" w:rsidRPr="00803592" w:rsidRDefault="000547F9" w:rsidP="000547F9">
      <w:pPr>
        <w:spacing w:before="120"/>
        <w:rPr>
          <w:rFonts w:eastAsia="+mn-ea"/>
          <w:color w:val="404040"/>
          <w:kern w:val="24"/>
        </w:rPr>
      </w:pPr>
      <w:r w:rsidRPr="00803592">
        <w:rPr>
          <w:rFonts w:eastAsia="+mn-ea"/>
          <w:color w:val="404040"/>
          <w:kern w:val="24"/>
        </w:rPr>
        <w:t>L’importance relative accordée au prix, aux coûts, à la rapidité et à la probabilité de l’exécution est précisée par la politique de meilleure sélection :</w:t>
      </w:r>
    </w:p>
    <w:p w:rsidR="000547F9" w:rsidRPr="00803592" w:rsidRDefault="0075275A" w:rsidP="000547F9">
      <w:pPr>
        <w:spacing w:before="120"/>
        <w:rPr>
          <w:rFonts w:eastAsia="+mn-ea"/>
          <w:i/>
          <w:iCs/>
          <w:color w:val="404040"/>
          <w:kern w:val="24"/>
          <w:u w:val="single"/>
        </w:rPr>
      </w:pPr>
      <w:hyperlink r:id="rId9" w:history="1">
        <w:r w:rsidR="000547F9" w:rsidRPr="00803592">
          <w:rPr>
            <w:rStyle w:val="Lienhypertexte"/>
            <w:rFonts w:eastAsia="+mn-ea"/>
            <w:i/>
            <w:iCs/>
            <w:kern w:val="24"/>
          </w:rPr>
          <w:t>https://www.ca-sudmed.fr/Vitrine/ObjCommun/Fic/SudMed/V3/Politique_meilleure_execution.pdf</w:t>
        </w:r>
      </w:hyperlink>
    </w:p>
    <w:p w:rsidR="000547F9" w:rsidRPr="00803592" w:rsidRDefault="000547F9" w:rsidP="000547F9">
      <w:pPr>
        <w:spacing w:before="120"/>
        <w:rPr>
          <w:rFonts w:eastAsia="+mn-ea"/>
          <w:color w:val="404040"/>
          <w:kern w:val="24"/>
        </w:rPr>
      </w:pPr>
      <w:r w:rsidRPr="00803592">
        <w:rPr>
          <w:rFonts w:eastAsia="+mn-ea"/>
          <w:color w:val="404040"/>
          <w:kern w:val="24"/>
        </w:rPr>
        <w:t xml:space="preserve">La Caisse régionale agissant en tant que transmetteur d’ordres a sélectionné </w:t>
      </w:r>
      <w:proofErr w:type="gramStart"/>
      <w:r w:rsidRPr="00803592">
        <w:rPr>
          <w:rFonts w:eastAsia="+mn-ea"/>
          <w:color w:val="404040"/>
          <w:kern w:val="24"/>
        </w:rPr>
        <w:t>un  intermédiaires</w:t>
      </w:r>
      <w:proofErr w:type="gramEnd"/>
      <w:r w:rsidRPr="00803592">
        <w:rPr>
          <w:rFonts w:eastAsia="+mn-ea"/>
          <w:color w:val="404040"/>
          <w:kern w:val="24"/>
        </w:rPr>
        <w:t xml:space="preserve"> pour la qualité de son service d’exécution : CA Titres, pour les ordres sur valeurs mobilières, et </w:t>
      </w:r>
      <w:proofErr w:type="spellStart"/>
      <w:r w:rsidRPr="00803592">
        <w:rPr>
          <w:rFonts w:eastAsia="+mn-ea"/>
          <w:color w:val="404040"/>
          <w:kern w:val="24"/>
        </w:rPr>
        <w:t>Credit</w:t>
      </w:r>
      <w:proofErr w:type="spellEnd"/>
      <w:r w:rsidRPr="00803592">
        <w:rPr>
          <w:rFonts w:eastAsia="+mn-ea"/>
          <w:color w:val="404040"/>
          <w:kern w:val="24"/>
        </w:rPr>
        <w:t xml:space="preserve"> Agricole </w:t>
      </w:r>
      <w:proofErr w:type="spellStart"/>
      <w:r w:rsidRPr="00803592">
        <w:rPr>
          <w:rFonts w:eastAsia="+mn-ea"/>
          <w:color w:val="404040"/>
          <w:kern w:val="24"/>
        </w:rPr>
        <w:t>Corporate</w:t>
      </w:r>
      <w:proofErr w:type="spellEnd"/>
      <w:r w:rsidRPr="00803592">
        <w:rPr>
          <w:rFonts w:eastAsia="+mn-ea"/>
          <w:color w:val="404040"/>
          <w:kern w:val="24"/>
        </w:rPr>
        <w:t xml:space="preserve"> and Investment Bank (CACIB), pour les opérations de marché.</w:t>
      </w:r>
    </w:p>
    <w:p w:rsidR="00803592" w:rsidRPr="00803592" w:rsidRDefault="00803592" w:rsidP="000547F9">
      <w:pPr>
        <w:jc w:val="both"/>
        <w:rPr>
          <w:rFonts w:eastAsia="+mn-ea"/>
          <w:color w:val="404040"/>
          <w:kern w:val="24"/>
        </w:rPr>
      </w:pPr>
    </w:p>
    <w:p w:rsidR="000547F9" w:rsidRPr="00803592" w:rsidRDefault="000547F9" w:rsidP="000547F9">
      <w:pPr>
        <w:jc w:val="both"/>
        <w:rPr>
          <w:rFonts w:eastAsia="+mn-ea"/>
          <w:color w:val="404040"/>
          <w:kern w:val="24"/>
        </w:rPr>
      </w:pPr>
      <w:r w:rsidRPr="00803592">
        <w:rPr>
          <w:rFonts w:eastAsia="+mn-ea"/>
          <w:color w:val="404040"/>
          <w:kern w:val="24"/>
        </w:rPr>
        <w:t>La politique d’exécution de ces deux intermédiaires fait l’objet d’une évaluation régulière par la Caisse régionale sur les critères suivants : accès aux différentes plateformes d’exécution, qualité d’exécution (fiabilité, rapidité d’exécution, soin et suivi des ordres) et coût.</w:t>
      </w:r>
    </w:p>
    <w:p w:rsidR="000547F9" w:rsidRPr="00803592" w:rsidRDefault="000547F9" w:rsidP="000547F9">
      <w:pPr>
        <w:jc w:val="both"/>
        <w:rPr>
          <w:rFonts w:eastAsia="+mn-ea"/>
          <w:color w:val="404040"/>
          <w:kern w:val="24"/>
          <w:sz w:val="16"/>
          <w:szCs w:val="16"/>
        </w:rPr>
      </w:pPr>
    </w:p>
    <w:p w:rsidR="000547F9" w:rsidRDefault="000547F9" w:rsidP="000547F9">
      <w:pPr>
        <w:jc w:val="both"/>
        <w:rPr>
          <w:rFonts w:eastAsia="+mn-ea"/>
          <w:color w:val="404040"/>
          <w:kern w:val="24"/>
          <w:sz w:val="24"/>
          <w:szCs w:val="24"/>
        </w:rPr>
      </w:pPr>
      <w:r w:rsidRPr="000547F9">
        <w:rPr>
          <w:noProof/>
          <w:sz w:val="24"/>
          <w:szCs w:val="24"/>
        </w:rPr>
        <mc:AlternateContent>
          <mc:Choice Requires="wps">
            <w:drawing>
              <wp:anchor distT="0" distB="0" distL="114300" distR="114300" simplePos="0" relativeHeight="251661312" behindDoc="0" locked="0" layoutInCell="1" allowOverlap="1" wp14:anchorId="33CB5255" wp14:editId="1A224872">
                <wp:simplePos x="0" y="0"/>
                <wp:positionH relativeFrom="column">
                  <wp:posOffset>-312192</wp:posOffset>
                </wp:positionH>
                <wp:positionV relativeFrom="paragraph">
                  <wp:posOffset>20272</wp:posOffset>
                </wp:positionV>
                <wp:extent cx="7279640" cy="258792"/>
                <wp:effectExtent l="0" t="0" r="0" b="8255"/>
                <wp:wrapNone/>
                <wp:docPr id="10" name="Rectangle 9"/>
                <wp:cNvGraphicFramePr/>
                <a:graphic xmlns:a="http://schemas.openxmlformats.org/drawingml/2006/main">
                  <a:graphicData uri="http://schemas.microsoft.com/office/word/2010/wordprocessingShape">
                    <wps:wsp>
                      <wps:cNvSpPr/>
                      <wps:spPr>
                        <a:xfrm>
                          <a:off x="0" y="0"/>
                          <a:ext cx="7279640" cy="258792"/>
                        </a:xfrm>
                        <a:prstGeom prst="rect">
                          <a:avLst/>
                        </a:prstGeom>
                        <a:solidFill>
                          <a:schemeClr val="accent3">
                            <a:lumMod val="75000"/>
                          </a:schemeClr>
                        </a:solidFill>
                      </wps:spPr>
                      <wps:txbx>
                        <w:txbxContent>
                          <w:p w:rsidR="000547F9" w:rsidRPr="00803592" w:rsidRDefault="000547F9" w:rsidP="000547F9">
                            <w:pPr>
                              <w:pStyle w:val="NormalWeb"/>
                              <w:spacing w:before="0" w:beforeAutospacing="0" w:after="0" w:afterAutospacing="0"/>
                              <w:rPr>
                                <w:sz w:val="20"/>
                                <w:szCs w:val="20"/>
                              </w:rPr>
                            </w:pPr>
                            <w:r w:rsidRPr="00803592">
                              <w:rPr>
                                <w:b/>
                                <w:bCs/>
                                <w:i/>
                                <w:iCs/>
                                <w:color w:val="FFFFFF" w:themeColor="background1"/>
                                <w:kern w:val="24"/>
                                <w:sz w:val="20"/>
                                <w:szCs w:val="20"/>
                              </w:rPr>
                              <w:t xml:space="preserve">Liens, participation, conflits d'intérêts avec les plateformes utilisées pour l’exécution des ordres </w:t>
                            </w:r>
                          </w:p>
                        </w:txbxContent>
                      </wps:txbx>
                      <wps:bodyPr wrap="square" lIns="36000" rIns="36000">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left:0;text-align:left;margin-left:-24.6pt;margin-top:1.6pt;width:573.2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" fillcolor="#76923c [2406]" stroked="f">
                <v:textbox inset="1mm,,1mm">
                  <w:txbxContent>
                    <w:p w:rsidR="000547F9" w:rsidRPr="00803592" w:rsidRDefault="000547F9" w:rsidP="000547F9">
                      <w:pPr>
                        <w:pStyle w:val="NormalWeb"/>
                        <w:spacing w:before="0" w:beforeAutospacing="0" w:after="0" w:afterAutospacing="0"/>
                        <w:rPr>
                          <w:sz w:val="20"/>
                          <w:szCs w:val="20"/>
                        </w:rPr>
                      </w:pPr>
                      <w:r w:rsidRPr="00803592">
                        <w:rPr>
                          <w:b/>
                          <w:bCs/>
                          <w:i/>
                          <w:iCs/>
                          <w:color w:val="FFFFFF" w:themeColor="background1"/>
                          <w:kern w:val="24"/>
                          <w:sz w:val="20"/>
                          <w:szCs w:val="20"/>
                        </w:rPr>
                        <w:t xml:space="preserve">Liens, participation, conflits d'intérêts avec les plateformes utilisées pour l’exécution des ordres </w:t>
                      </w:r>
                    </w:p>
                  </w:txbxContent>
                </v:textbox>
              </v:rect>
            </w:pict>
          </mc:Fallback>
        </mc:AlternateContent>
      </w:r>
    </w:p>
    <w:p w:rsidR="000547F9" w:rsidRDefault="000547F9" w:rsidP="000547F9">
      <w:pPr>
        <w:jc w:val="both"/>
        <w:rPr>
          <w:rFonts w:eastAsia="+mn-ea"/>
          <w:color w:val="404040"/>
          <w:kern w:val="24"/>
          <w:sz w:val="24"/>
          <w:szCs w:val="24"/>
        </w:rPr>
      </w:pPr>
    </w:p>
    <w:p w:rsidR="000547F9" w:rsidRPr="00803592" w:rsidRDefault="000547F9" w:rsidP="000547F9">
      <w:pPr>
        <w:spacing w:before="120"/>
        <w:rPr>
          <w:rFonts w:eastAsia="+mn-ea"/>
          <w:b/>
          <w:color w:val="404040"/>
          <w:kern w:val="24"/>
        </w:rPr>
      </w:pPr>
      <w:r w:rsidRPr="00803592">
        <w:rPr>
          <w:rFonts w:eastAsia="+mn-ea"/>
          <w:b/>
          <w:color w:val="404040"/>
          <w:kern w:val="24"/>
        </w:rPr>
        <w:t>Valeurs mobilières :</w:t>
      </w:r>
    </w:p>
    <w:p w:rsidR="000547F9" w:rsidRPr="00803592" w:rsidRDefault="000547F9" w:rsidP="000547F9">
      <w:pPr>
        <w:spacing w:before="120"/>
        <w:rPr>
          <w:rFonts w:eastAsia="+mn-ea"/>
          <w:color w:val="404040"/>
          <w:kern w:val="24"/>
        </w:rPr>
      </w:pPr>
      <w:r w:rsidRPr="00803592">
        <w:rPr>
          <w:rFonts w:eastAsia="+mn-ea"/>
          <w:color w:val="404040"/>
          <w:kern w:val="24"/>
        </w:rPr>
        <w:t xml:space="preserve">Il n’existe aucun lien, aucune participation significative ou conflit d’intérêt entre la Caisse régionale et les plateformes d’exécution </w:t>
      </w:r>
      <w:r w:rsidRPr="00803592">
        <w:rPr>
          <w:rFonts w:eastAsia="+mn-ea"/>
          <w:color w:val="404040"/>
          <w:kern w:val="24"/>
          <w:vertAlign w:val="superscript"/>
        </w:rPr>
        <w:t>(1)</w:t>
      </w:r>
      <w:r w:rsidRPr="00803592">
        <w:rPr>
          <w:rFonts w:eastAsia="+mn-ea"/>
          <w:color w:val="404040"/>
          <w:kern w:val="24"/>
        </w:rPr>
        <w:t xml:space="preserve"> utilisées par CA Titres.</w:t>
      </w:r>
    </w:p>
    <w:p w:rsidR="000547F9" w:rsidRPr="00803592" w:rsidRDefault="000547F9" w:rsidP="000547F9">
      <w:pPr>
        <w:spacing w:before="120"/>
        <w:rPr>
          <w:rFonts w:eastAsia="+mn-ea"/>
          <w:b/>
          <w:color w:val="404040"/>
          <w:kern w:val="24"/>
        </w:rPr>
      </w:pPr>
      <w:r w:rsidRPr="00803592">
        <w:rPr>
          <w:rFonts w:eastAsia="+mn-ea"/>
          <w:b/>
          <w:color w:val="404040"/>
          <w:kern w:val="24"/>
        </w:rPr>
        <w:t xml:space="preserve"> Opérations de marché</w:t>
      </w:r>
    </w:p>
    <w:p w:rsidR="000547F9" w:rsidRPr="00803592" w:rsidRDefault="000547F9" w:rsidP="000547F9">
      <w:pPr>
        <w:spacing w:before="120"/>
        <w:rPr>
          <w:rFonts w:eastAsia="+mn-ea"/>
          <w:color w:val="404040"/>
          <w:kern w:val="24"/>
        </w:rPr>
      </w:pPr>
      <w:r w:rsidRPr="00803592">
        <w:rPr>
          <w:rFonts w:eastAsia="+mn-ea"/>
          <w:color w:val="404040"/>
          <w:kern w:val="24"/>
        </w:rPr>
        <w:t xml:space="preserve">Les ordres sont transmis à </w:t>
      </w:r>
      <w:proofErr w:type="spellStart"/>
      <w:r w:rsidRPr="00803592">
        <w:rPr>
          <w:rFonts w:eastAsia="+mn-ea"/>
          <w:color w:val="404040"/>
          <w:kern w:val="24"/>
        </w:rPr>
        <w:t>Credit</w:t>
      </w:r>
      <w:proofErr w:type="spellEnd"/>
      <w:r w:rsidRPr="00803592">
        <w:rPr>
          <w:rFonts w:eastAsia="+mn-ea"/>
          <w:color w:val="404040"/>
          <w:kern w:val="24"/>
        </w:rPr>
        <w:t xml:space="preserve"> Agricole </w:t>
      </w:r>
      <w:proofErr w:type="spellStart"/>
      <w:r w:rsidRPr="00803592">
        <w:rPr>
          <w:rFonts w:eastAsia="+mn-ea"/>
          <w:color w:val="404040"/>
          <w:kern w:val="24"/>
        </w:rPr>
        <w:t>Corporate</w:t>
      </w:r>
      <w:proofErr w:type="spellEnd"/>
      <w:r w:rsidRPr="00803592">
        <w:rPr>
          <w:rFonts w:eastAsia="+mn-ea"/>
          <w:color w:val="404040"/>
          <w:kern w:val="24"/>
        </w:rPr>
        <w:t xml:space="preserve"> and Investment Bank (CACIB), société détenue à 100% par Crédit Agricole SA. </w:t>
      </w:r>
    </w:p>
    <w:p w:rsidR="000547F9" w:rsidRDefault="000547F9" w:rsidP="000547F9">
      <w:pPr>
        <w:spacing w:before="120"/>
        <w:rPr>
          <w:rFonts w:eastAsia="+mn-ea"/>
          <w:color w:val="404040"/>
          <w:kern w:val="24"/>
          <w:sz w:val="24"/>
          <w:szCs w:val="24"/>
        </w:rPr>
      </w:pPr>
      <w:r w:rsidRPr="000547F9">
        <w:rPr>
          <w:noProof/>
          <w:sz w:val="24"/>
          <w:szCs w:val="24"/>
        </w:rPr>
        <mc:AlternateContent>
          <mc:Choice Requires="wps">
            <w:drawing>
              <wp:anchor distT="0" distB="0" distL="114300" distR="114300" simplePos="0" relativeHeight="251663360" behindDoc="0" locked="0" layoutInCell="1" allowOverlap="1" wp14:anchorId="0085C680" wp14:editId="271CCA82">
                <wp:simplePos x="0" y="0"/>
                <wp:positionH relativeFrom="column">
                  <wp:posOffset>-312192</wp:posOffset>
                </wp:positionH>
                <wp:positionV relativeFrom="paragraph">
                  <wp:posOffset>119045</wp:posOffset>
                </wp:positionV>
                <wp:extent cx="7280071" cy="258792"/>
                <wp:effectExtent l="0" t="0" r="0" b="8255"/>
                <wp:wrapNone/>
                <wp:docPr id="1" name="Rectangle 9"/>
                <wp:cNvGraphicFramePr/>
                <a:graphic xmlns:a="http://schemas.openxmlformats.org/drawingml/2006/main">
                  <a:graphicData uri="http://schemas.microsoft.com/office/word/2010/wordprocessingShape">
                    <wps:wsp>
                      <wps:cNvSpPr/>
                      <wps:spPr>
                        <a:xfrm>
                          <a:off x="0" y="0"/>
                          <a:ext cx="7280071" cy="258792"/>
                        </a:xfrm>
                        <a:prstGeom prst="rect">
                          <a:avLst/>
                        </a:prstGeom>
                        <a:solidFill>
                          <a:schemeClr val="accent3">
                            <a:lumMod val="75000"/>
                          </a:schemeClr>
                        </a:solidFill>
                      </wps:spPr>
                      <wps:txbx>
                        <w:txbxContent>
                          <w:p w:rsidR="000547F9" w:rsidRPr="00803592" w:rsidRDefault="000547F9" w:rsidP="000547F9">
                            <w:pPr>
                              <w:pStyle w:val="NormalWeb"/>
                              <w:rPr>
                                <w:b/>
                                <w:bCs/>
                                <w:i/>
                                <w:iCs/>
                                <w:color w:val="FFFFFF" w:themeColor="background1"/>
                                <w:kern w:val="24"/>
                                <w:sz w:val="20"/>
                                <w:szCs w:val="20"/>
                              </w:rPr>
                            </w:pPr>
                            <w:r w:rsidRPr="00803592">
                              <w:rPr>
                                <w:b/>
                                <w:bCs/>
                                <w:i/>
                                <w:iCs/>
                                <w:color w:val="FFFFFF" w:themeColor="background1"/>
                                <w:kern w:val="24"/>
                                <w:sz w:val="20"/>
                                <w:szCs w:val="20"/>
                              </w:rPr>
                              <w:t>Accords avec les plateformes d’exécution des ordres concernant des paiements, rabais, remises ou avantages</w:t>
                            </w:r>
                          </w:p>
                          <w:p w:rsidR="000547F9" w:rsidRPr="000547F9" w:rsidRDefault="000547F9" w:rsidP="000547F9">
                            <w:pPr>
                              <w:pStyle w:val="NormalWeb"/>
                              <w:spacing w:before="0" w:beforeAutospacing="0" w:after="0" w:afterAutospacing="0"/>
                            </w:pPr>
                          </w:p>
                        </w:txbxContent>
                      </wps:txbx>
                      <wps:bodyPr wrap="square" lIns="36000" rIns="36000">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24.6pt;margin-top:9.35pt;width:573.2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" fillcolor="#76923c [2406]" stroked="f">
                <v:textbox inset="1mm,,1mm">
                  <w:txbxContent>
                    <w:p w:rsidR="000547F9" w:rsidRPr="00803592" w:rsidRDefault="000547F9" w:rsidP="000547F9">
                      <w:pPr>
                        <w:pStyle w:val="NormalWeb"/>
                        <w:rPr>
                          <w:b/>
                          <w:bCs/>
                          <w:i/>
                          <w:iCs/>
                          <w:color w:val="FFFFFF" w:themeColor="background1"/>
                          <w:kern w:val="24"/>
                          <w:sz w:val="20"/>
                          <w:szCs w:val="20"/>
                        </w:rPr>
                      </w:pPr>
                      <w:r w:rsidRPr="00803592">
                        <w:rPr>
                          <w:b/>
                          <w:bCs/>
                          <w:i/>
                          <w:iCs/>
                          <w:color w:val="FFFFFF" w:themeColor="background1"/>
                          <w:kern w:val="24"/>
                          <w:sz w:val="20"/>
                          <w:szCs w:val="20"/>
                        </w:rPr>
                        <w:t>Accords avec les plateformes d’exécution des ordres concernant des paiements, rabais, remises ou avantages</w:t>
                      </w:r>
                    </w:p>
                    <w:p w:rsidR="000547F9" w:rsidRPr="000547F9" w:rsidRDefault="000547F9" w:rsidP="000547F9">
                      <w:pPr>
                        <w:pStyle w:val="NormalWeb"/>
                        <w:spacing w:before="0" w:beforeAutospacing="0" w:after="0" w:afterAutospacing="0"/>
                      </w:pPr>
                    </w:p>
                  </w:txbxContent>
                </v:textbox>
              </v:rect>
            </w:pict>
          </mc:Fallback>
        </mc:AlternateContent>
      </w:r>
    </w:p>
    <w:p w:rsidR="000547F9" w:rsidRPr="00803592" w:rsidRDefault="000547F9" w:rsidP="000547F9">
      <w:pPr>
        <w:spacing w:before="120"/>
        <w:rPr>
          <w:rFonts w:eastAsia="+mn-ea"/>
          <w:color w:val="404040"/>
          <w:kern w:val="24"/>
          <w:sz w:val="16"/>
          <w:szCs w:val="16"/>
        </w:rPr>
      </w:pPr>
    </w:p>
    <w:p w:rsidR="000547F9" w:rsidRPr="00803592" w:rsidRDefault="000547F9" w:rsidP="000547F9">
      <w:pPr>
        <w:spacing w:before="120"/>
        <w:rPr>
          <w:rFonts w:eastAsia="+mn-ea"/>
          <w:color w:val="404040"/>
          <w:kern w:val="24"/>
        </w:rPr>
      </w:pPr>
      <w:r w:rsidRPr="00803592">
        <w:rPr>
          <w:rFonts w:eastAsia="+mn-ea"/>
          <w:b/>
          <w:bCs/>
          <w:color w:val="404040"/>
          <w:kern w:val="24"/>
        </w:rPr>
        <w:t>Valeurs mobilières :</w:t>
      </w:r>
    </w:p>
    <w:p w:rsidR="000547F9" w:rsidRPr="00803592" w:rsidRDefault="000547F9" w:rsidP="000547F9">
      <w:pPr>
        <w:spacing w:before="120"/>
        <w:rPr>
          <w:rFonts w:eastAsia="+mn-ea"/>
          <w:color w:val="404040"/>
          <w:kern w:val="24"/>
        </w:rPr>
      </w:pPr>
      <w:r w:rsidRPr="00803592">
        <w:rPr>
          <w:rFonts w:eastAsia="+mn-ea"/>
          <w:color w:val="404040"/>
          <w:kern w:val="24"/>
        </w:rPr>
        <w:t xml:space="preserve">Il n’existe aucun accord de ce type entre la Caisse régionale et les plateformes d’exécution </w:t>
      </w:r>
      <w:r w:rsidRPr="00803592">
        <w:rPr>
          <w:rFonts w:eastAsia="+mn-ea"/>
          <w:color w:val="404040"/>
          <w:kern w:val="24"/>
          <w:vertAlign w:val="superscript"/>
        </w:rPr>
        <w:t>(1)</w:t>
      </w:r>
      <w:r w:rsidRPr="00803592">
        <w:rPr>
          <w:rFonts w:eastAsia="+mn-ea"/>
          <w:color w:val="404040"/>
          <w:kern w:val="24"/>
        </w:rPr>
        <w:t xml:space="preserve"> utilisées par CA Titres. </w:t>
      </w:r>
    </w:p>
    <w:p w:rsidR="000547F9" w:rsidRPr="00803592" w:rsidRDefault="000547F9" w:rsidP="000547F9">
      <w:pPr>
        <w:spacing w:before="120"/>
        <w:rPr>
          <w:rFonts w:eastAsia="+mn-ea"/>
          <w:color w:val="404040"/>
          <w:kern w:val="24"/>
        </w:rPr>
      </w:pPr>
      <w:r w:rsidRPr="00803592">
        <w:rPr>
          <w:rFonts w:eastAsia="+mn-ea"/>
          <w:b/>
          <w:bCs/>
          <w:color w:val="404040"/>
          <w:kern w:val="24"/>
        </w:rPr>
        <w:t>Opérations de marché</w:t>
      </w:r>
    </w:p>
    <w:p w:rsidR="000547F9" w:rsidRPr="00803592" w:rsidRDefault="000547F9" w:rsidP="000547F9">
      <w:pPr>
        <w:spacing w:before="120"/>
        <w:rPr>
          <w:rFonts w:eastAsia="+mn-ea"/>
          <w:color w:val="404040"/>
          <w:kern w:val="24"/>
        </w:rPr>
      </w:pPr>
      <w:r w:rsidRPr="00803592">
        <w:rPr>
          <w:rFonts w:eastAsia="+mn-ea"/>
          <w:color w:val="404040"/>
          <w:kern w:val="24"/>
        </w:rPr>
        <w:t xml:space="preserve">Il n’existe aucun accord de ce type entre la Caisse régionale et les plateformes d’exécution </w:t>
      </w:r>
      <w:r w:rsidRPr="00803592">
        <w:rPr>
          <w:rFonts w:eastAsia="+mn-ea"/>
          <w:color w:val="404040"/>
          <w:kern w:val="24"/>
          <w:vertAlign w:val="superscript"/>
        </w:rPr>
        <w:t>(1)</w:t>
      </w:r>
      <w:r w:rsidRPr="00803592">
        <w:rPr>
          <w:rFonts w:eastAsia="+mn-ea"/>
          <w:color w:val="404040"/>
          <w:kern w:val="24"/>
        </w:rPr>
        <w:t xml:space="preserve"> utilisées par  CACIB.</w:t>
      </w:r>
    </w:p>
    <w:p w:rsidR="000547F9" w:rsidRPr="00803592" w:rsidRDefault="000547F9" w:rsidP="000547F9">
      <w:pPr>
        <w:spacing w:before="120"/>
        <w:rPr>
          <w:rFonts w:eastAsia="+mn-ea"/>
          <w:color w:val="404040"/>
          <w:kern w:val="24"/>
        </w:rPr>
      </w:pPr>
      <w:r w:rsidRPr="00803592">
        <w:rPr>
          <w:noProof/>
        </w:rPr>
        <mc:AlternateContent>
          <mc:Choice Requires="wps">
            <w:drawing>
              <wp:anchor distT="0" distB="0" distL="114300" distR="114300" simplePos="0" relativeHeight="251665408" behindDoc="0" locked="0" layoutInCell="1" allowOverlap="1" wp14:anchorId="1D520919" wp14:editId="6F33CEA2">
                <wp:simplePos x="0" y="0"/>
                <wp:positionH relativeFrom="column">
                  <wp:posOffset>-312192</wp:posOffset>
                </wp:positionH>
                <wp:positionV relativeFrom="paragraph">
                  <wp:posOffset>122639</wp:posOffset>
                </wp:positionV>
                <wp:extent cx="7280071" cy="258445"/>
                <wp:effectExtent l="0" t="0" r="0" b="8255"/>
                <wp:wrapNone/>
                <wp:docPr id="3" name="Rectangle 9"/>
                <wp:cNvGraphicFramePr/>
                <a:graphic xmlns:a="http://schemas.openxmlformats.org/drawingml/2006/main">
                  <a:graphicData uri="http://schemas.microsoft.com/office/word/2010/wordprocessingShape">
                    <wps:wsp>
                      <wps:cNvSpPr/>
                      <wps:spPr>
                        <a:xfrm>
                          <a:off x="0" y="0"/>
                          <a:ext cx="7280071" cy="258445"/>
                        </a:xfrm>
                        <a:prstGeom prst="rect">
                          <a:avLst/>
                        </a:prstGeom>
                        <a:solidFill>
                          <a:schemeClr val="accent3">
                            <a:lumMod val="75000"/>
                          </a:schemeClr>
                        </a:solidFill>
                      </wps:spPr>
                      <wps:txbx>
                        <w:txbxContent>
                          <w:p w:rsidR="00F028B2" w:rsidRPr="00F028B2" w:rsidRDefault="00F028B2" w:rsidP="00F028B2">
                            <w:pPr>
                              <w:pStyle w:val="NormalWeb"/>
                              <w:rPr>
                                <w:b/>
                                <w:bCs/>
                                <w:i/>
                                <w:iCs/>
                                <w:color w:val="FFFFFF" w:themeColor="background1"/>
                                <w:kern w:val="24"/>
                              </w:rPr>
                            </w:pPr>
                            <w:r w:rsidRPr="00F028B2">
                              <w:rPr>
                                <w:b/>
                                <w:bCs/>
                                <w:i/>
                                <w:iCs/>
                                <w:color w:val="FFFFFF" w:themeColor="background1"/>
                                <w:kern w:val="24"/>
                              </w:rPr>
                              <w:t>Facteurs ayant conduit à modifier la liste des plates-formes d'exécution mentionnée dans la politique d’exécution</w:t>
                            </w:r>
                          </w:p>
                          <w:p w:rsidR="000547F9" w:rsidRPr="000547F9" w:rsidRDefault="000547F9" w:rsidP="000547F9">
                            <w:pPr>
                              <w:pStyle w:val="NormalWeb"/>
                              <w:spacing w:before="0" w:beforeAutospacing="0" w:after="0" w:afterAutospacing="0"/>
                            </w:pPr>
                          </w:p>
                        </w:txbxContent>
                      </wps:txbx>
                      <wps:bodyPr wrap="square" lIns="36000" rIns="36000">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24.6pt;margin-top:9.65pt;width:573.25pt;height:2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" fillcolor="#76923c [2406]" stroked="f">
                <v:textbox inset="1mm,,1mm">
                  <w:txbxContent>
                    <w:p w:rsidR="00F028B2" w:rsidRPr="00F028B2" w:rsidRDefault="00F028B2" w:rsidP="00F028B2">
                      <w:pPr>
                        <w:pStyle w:val="NormalWeb"/>
                        <w:rPr>
                          <w:b/>
                          <w:bCs/>
                          <w:i/>
                          <w:iCs/>
                          <w:color w:val="FFFFFF" w:themeColor="background1"/>
                          <w:kern w:val="24"/>
                        </w:rPr>
                      </w:pPr>
                      <w:r w:rsidRPr="00F028B2">
                        <w:rPr>
                          <w:b/>
                          <w:bCs/>
                          <w:i/>
                          <w:iCs/>
                          <w:color w:val="FFFFFF" w:themeColor="background1"/>
                          <w:kern w:val="24"/>
                        </w:rPr>
                        <w:t>Facteurs ayant conduit à modifier la liste des plates-formes d'exécution mentionnée dans la politique d’exécution</w:t>
                      </w:r>
                    </w:p>
                    <w:p w:rsidR="000547F9" w:rsidRPr="000547F9" w:rsidRDefault="000547F9" w:rsidP="000547F9">
                      <w:pPr>
                        <w:pStyle w:val="NormalWeb"/>
                        <w:spacing w:before="0" w:beforeAutospacing="0" w:after="0" w:afterAutospacing="0"/>
                      </w:pPr>
                    </w:p>
                  </w:txbxContent>
                </v:textbox>
              </v:rect>
            </w:pict>
          </mc:Fallback>
        </mc:AlternateContent>
      </w:r>
    </w:p>
    <w:p w:rsidR="00F028B2" w:rsidRPr="00803592" w:rsidRDefault="00F028B2" w:rsidP="000547F9">
      <w:pPr>
        <w:spacing w:before="120"/>
        <w:rPr>
          <w:rFonts w:eastAsia="+mn-ea"/>
          <w:color w:val="404040"/>
          <w:kern w:val="24"/>
        </w:rPr>
      </w:pPr>
    </w:p>
    <w:p w:rsidR="000547F9" w:rsidRPr="00803592" w:rsidRDefault="00F028B2" w:rsidP="00F028B2">
      <w:pPr>
        <w:rPr>
          <w:rFonts w:eastAsia="+mn-ea"/>
          <w:color w:val="404040"/>
          <w:kern w:val="24"/>
        </w:rPr>
      </w:pPr>
      <w:r w:rsidRPr="00803592">
        <w:rPr>
          <w:rFonts w:eastAsia="+mn-ea"/>
          <w:color w:val="404040"/>
          <w:kern w:val="24"/>
        </w:rPr>
        <w:t>NEANT</w:t>
      </w:r>
    </w:p>
    <w:p w:rsidR="000547F9" w:rsidRDefault="00F028B2" w:rsidP="000547F9">
      <w:pPr>
        <w:spacing w:before="120"/>
        <w:rPr>
          <w:rFonts w:eastAsia="+mn-ea"/>
          <w:color w:val="404040"/>
          <w:kern w:val="24"/>
          <w:sz w:val="24"/>
          <w:szCs w:val="24"/>
        </w:rPr>
      </w:pPr>
      <w:r w:rsidRPr="000547F9">
        <w:rPr>
          <w:noProof/>
          <w:sz w:val="24"/>
          <w:szCs w:val="24"/>
        </w:rPr>
        <mc:AlternateContent>
          <mc:Choice Requires="wps">
            <w:drawing>
              <wp:anchor distT="0" distB="0" distL="114300" distR="114300" simplePos="0" relativeHeight="251667456" behindDoc="0" locked="0" layoutInCell="1" allowOverlap="1" wp14:anchorId="1B24CCE6" wp14:editId="6DD542AF">
                <wp:simplePos x="0" y="0"/>
                <wp:positionH relativeFrom="column">
                  <wp:posOffset>-312192</wp:posOffset>
                </wp:positionH>
                <wp:positionV relativeFrom="paragraph">
                  <wp:posOffset>101432</wp:posOffset>
                </wp:positionV>
                <wp:extent cx="7280071" cy="258445"/>
                <wp:effectExtent l="0" t="0" r="0" b="8255"/>
                <wp:wrapNone/>
                <wp:docPr id="4" name="Rectangle 9"/>
                <wp:cNvGraphicFramePr/>
                <a:graphic xmlns:a="http://schemas.openxmlformats.org/drawingml/2006/main">
                  <a:graphicData uri="http://schemas.microsoft.com/office/word/2010/wordprocessingShape">
                    <wps:wsp>
                      <wps:cNvSpPr/>
                      <wps:spPr>
                        <a:xfrm>
                          <a:off x="0" y="0"/>
                          <a:ext cx="7280071" cy="258445"/>
                        </a:xfrm>
                        <a:prstGeom prst="rect">
                          <a:avLst/>
                        </a:prstGeom>
                        <a:solidFill>
                          <a:schemeClr val="accent3">
                            <a:lumMod val="75000"/>
                          </a:schemeClr>
                        </a:solidFill>
                      </wps:spPr>
                      <wps:txbx>
                        <w:txbxContent>
                          <w:p w:rsidR="00F028B2" w:rsidRPr="00F028B2" w:rsidRDefault="00F028B2" w:rsidP="00F028B2">
                            <w:pPr>
                              <w:pStyle w:val="NormalWeb"/>
                              <w:rPr>
                                <w:b/>
                                <w:bCs/>
                                <w:i/>
                                <w:iCs/>
                                <w:color w:val="FFFFFF" w:themeColor="background1"/>
                                <w:kern w:val="24"/>
                              </w:rPr>
                            </w:pPr>
                            <w:r w:rsidRPr="00F028B2">
                              <w:rPr>
                                <w:b/>
                                <w:bCs/>
                                <w:i/>
                                <w:iCs/>
                                <w:color w:val="FFFFFF" w:themeColor="background1"/>
                                <w:kern w:val="24"/>
                              </w:rPr>
                              <w:t>Incidence de la catégorie de client sur les modalités d’exécution des ordres</w:t>
                            </w:r>
                          </w:p>
                          <w:p w:rsidR="00F028B2" w:rsidRPr="000547F9" w:rsidRDefault="00F028B2" w:rsidP="00F028B2">
                            <w:pPr>
                              <w:pStyle w:val="NormalWeb"/>
                              <w:spacing w:before="0" w:beforeAutospacing="0" w:after="0" w:afterAutospacing="0"/>
                            </w:pPr>
                          </w:p>
                        </w:txbxContent>
                      </wps:txbx>
                      <wps:bodyPr wrap="square" lIns="36000" rIns="36000">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24.6pt;margin-top:8pt;width:573.25pt;height:2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" fillcolor="#76923c [2406]" stroked="f">
                <v:textbox inset="1mm,,1mm">
                  <w:txbxContent>
                    <w:p w:rsidR="00F028B2" w:rsidRPr="00F028B2" w:rsidRDefault="00F028B2" w:rsidP="00F028B2">
                      <w:pPr>
                        <w:pStyle w:val="NormalWeb"/>
                        <w:rPr>
                          <w:b/>
                          <w:bCs/>
                          <w:i/>
                          <w:iCs/>
                          <w:color w:val="FFFFFF" w:themeColor="background1"/>
                          <w:kern w:val="24"/>
                        </w:rPr>
                      </w:pPr>
                      <w:r w:rsidRPr="00F028B2">
                        <w:rPr>
                          <w:b/>
                          <w:bCs/>
                          <w:i/>
                          <w:iCs/>
                          <w:color w:val="FFFFFF" w:themeColor="background1"/>
                          <w:kern w:val="24"/>
                        </w:rPr>
                        <w:t>Incidence de la catégorie de client sur les modalités d’exécution des ordres</w:t>
                      </w:r>
                    </w:p>
                    <w:p w:rsidR="00F028B2" w:rsidRPr="000547F9" w:rsidRDefault="00F028B2" w:rsidP="00F028B2">
                      <w:pPr>
                        <w:pStyle w:val="NormalWeb"/>
                        <w:spacing w:before="0" w:beforeAutospacing="0" w:after="0" w:afterAutospacing="0"/>
                      </w:pPr>
                    </w:p>
                  </w:txbxContent>
                </v:textbox>
              </v:rect>
            </w:pict>
          </mc:Fallback>
        </mc:AlternateContent>
      </w:r>
    </w:p>
    <w:p w:rsidR="000547F9" w:rsidRDefault="000547F9" w:rsidP="000547F9">
      <w:pPr>
        <w:spacing w:before="120"/>
        <w:rPr>
          <w:rFonts w:eastAsia="+mn-ea"/>
          <w:color w:val="404040"/>
          <w:kern w:val="24"/>
          <w:sz w:val="24"/>
          <w:szCs w:val="24"/>
        </w:rPr>
      </w:pPr>
    </w:p>
    <w:p w:rsidR="00F028B2" w:rsidRDefault="00F028B2" w:rsidP="00F028B2">
      <w:pPr>
        <w:rPr>
          <w:rFonts w:eastAsia="+mn-ea"/>
          <w:color w:val="404040"/>
          <w:kern w:val="24"/>
        </w:rPr>
      </w:pPr>
      <w:r w:rsidRPr="00803592">
        <w:rPr>
          <w:rFonts w:eastAsia="+mn-ea"/>
          <w:color w:val="404040"/>
          <w:kern w:val="24"/>
        </w:rPr>
        <w:t>NEANT</w:t>
      </w:r>
    </w:p>
    <w:p w:rsidR="00803592" w:rsidRPr="00803592" w:rsidRDefault="00803592" w:rsidP="00F028B2">
      <w:pPr>
        <w:rPr>
          <w:rFonts w:eastAsia="+mn-ea"/>
          <w:color w:val="404040"/>
          <w:kern w:val="24"/>
          <w:sz w:val="16"/>
          <w:szCs w:val="16"/>
        </w:rPr>
      </w:pPr>
    </w:p>
    <w:p w:rsidR="00F028B2" w:rsidRPr="000547F9" w:rsidRDefault="00F028B2" w:rsidP="00F028B2">
      <w:pPr>
        <w:pStyle w:val="Paragraphedeliste"/>
        <w:ind w:left="284"/>
        <w:contextualSpacing/>
        <w:rPr>
          <w:sz w:val="14"/>
          <w:szCs w:val="24"/>
        </w:rPr>
      </w:pPr>
      <w:r w:rsidRPr="000547F9">
        <w:rPr>
          <w:noProof/>
          <w:sz w:val="24"/>
          <w:szCs w:val="24"/>
          <w:lang w:eastAsia="fr-FR"/>
        </w:rPr>
        <mc:AlternateContent>
          <mc:Choice Requires="wps">
            <w:drawing>
              <wp:anchor distT="0" distB="0" distL="114300" distR="114300" simplePos="0" relativeHeight="251669504" behindDoc="0" locked="0" layoutInCell="1" allowOverlap="1" wp14:anchorId="5281784B" wp14:editId="4BF0C88F">
                <wp:simplePos x="0" y="0"/>
                <wp:positionH relativeFrom="column">
                  <wp:posOffset>-312192</wp:posOffset>
                </wp:positionH>
                <wp:positionV relativeFrom="paragraph">
                  <wp:posOffset>4553</wp:posOffset>
                </wp:positionV>
                <wp:extent cx="7280071" cy="396815"/>
                <wp:effectExtent l="0" t="0" r="0" b="3810"/>
                <wp:wrapNone/>
                <wp:docPr id="5" name="Rectangle 9"/>
                <wp:cNvGraphicFramePr/>
                <a:graphic xmlns:a="http://schemas.openxmlformats.org/drawingml/2006/main">
                  <a:graphicData uri="http://schemas.microsoft.com/office/word/2010/wordprocessingShape">
                    <wps:wsp>
                      <wps:cNvSpPr/>
                      <wps:spPr>
                        <a:xfrm>
                          <a:off x="0" y="0"/>
                          <a:ext cx="7280071" cy="396815"/>
                        </a:xfrm>
                        <a:prstGeom prst="rect">
                          <a:avLst/>
                        </a:prstGeom>
                        <a:solidFill>
                          <a:schemeClr val="accent3">
                            <a:lumMod val="75000"/>
                          </a:schemeClr>
                        </a:solidFill>
                      </wps:spPr>
                      <wps:txbx>
                        <w:txbxContent>
                          <w:p w:rsidR="00F028B2" w:rsidRPr="00803592" w:rsidRDefault="00F028B2" w:rsidP="00F028B2">
                            <w:pPr>
                              <w:pStyle w:val="NormalWeb"/>
                              <w:spacing w:before="0" w:beforeAutospacing="0" w:after="0" w:afterAutospacing="0"/>
                              <w:rPr>
                                <w:b/>
                                <w:bCs/>
                                <w:i/>
                                <w:iCs/>
                                <w:color w:val="FFFFFF" w:themeColor="background1"/>
                                <w:kern w:val="24"/>
                                <w:sz w:val="20"/>
                                <w:szCs w:val="20"/>
                              </w:rPr>
                            </w:pPr>
                            <w:r w:rsidRPr="00803592">
                              <w:rPr>
                                <w:b/>
                                <w:bCs/>
                                <w:i/>
                                <w:iCs/>
                                <w:color w:val="FFFFFF" w:themeColor="background1"/>
                                <w:kern w:val="24"/>
                                <w:sz w:val="20"/>
                                <w:szCs w:val="20"/>
                              </w:rPr>
                              <w:t xml:space="preserve">Autres critères privilégiés par rapport au prix et aux coûts immédiats lors de l’exécution des ordres de clients </w:t>
                            </w:r>
                          </w:p>
                          <w:p w:rsidR="00F028B2" w:rsidRPr="00803592" w:rsidRDefault="00F028B2" w:rsidP="00F028B2">
                            <w:pPr>
                              <w:pStyle w:val="NormalWeb"/>
                              <w:spacing w:before="0" w:beforeAutospacing="0"/>
                              <w:rPr>
                                <w:b/>
                                <w:bCs/>
                                <w:i/>
                                <w:iCs/>
                                <w:color w:val="FFFFFF" w:themeColor="background1"/>
                                <w:kern w:val="24"/>
                                <w:sz w:val="20"/>
                                <w:szCs w:val="20"/>
                              </w:rPr>
                            </w:pPr>
                            <w:proofErr w:type="gramStart"/>
                            <w:r w:rsidRPr="00803592">
                              <w:rPr>
                                <w:b/>
                                <w:bCs/>
                                <w:i/>
                                <w:iCs/>
                                <w:color w:val="FFFFFF" w:themeColor="background1"/>
                                <w:kern w:val="24"/>
                                <w:sz w:val="20"/>
                                <w:szCs w:val="20"/>
                              </w:rPr>
                              <w:t>non</w:t>
                            </w:r>
                            <w:proofErr w:type="gramEnd"/>
                            <w:r w:rsidRPr="00803592">
                              <w:rPr>
                                <w:b/>
                                <w:bCs/>
                                <w:i/>
                                <w:iCs/>
                                <w:color w:val="FFFFFF" w:themeColor="background1"/>
                                <w:kern w:val="24"/>
                                <w:sz w:val="20"/>
                                <w:szCs w:val="20"/>
                              </w:rPr>
                              <w:t xml:space="preserve"> professionnels</w:t>
                            </w:r>
                          </w:p>
                          <w:p w:rsidR="00F028B2" w:rsidRPr="000547F9" w:rsidRDefault="00F028B2" w:rsidP="00F028B2">
                            <w:pPr>
                              <w:pStyle w:val="NormalWeb"/>
                              <w:spacing w:before="0" w:beforeAutospacing="0" w:after="0" w:afterAutospacing="0"/>
                            </w:pPr>
                          </w:p>
                        </w:txbxContent>
                      </wps:txbx>
                      <wps:bodyPr wrap="square" lIns="36000" rIns="36000">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24.6pt;margin-top:.35pt;width:573.25pt;height:3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" fillcolor="#76923c [2406]" stroked="f">
                <v:textbox inset="1mm,,1mm">
                  <w:txbxContent>
                    <w:p w:rsidR="00F028B2" w:rsidRPr="00803592" w:rsidRDefault="00F028B2" w:rsidP="00F028B2">
                      <w:pPr>
                        <w:pStyle w:val="NormalWeb"/>
                        <w:spacing w:before="0" w:beforeAutospacing="0" w:after="0" w:afterAutospacing="0"/>
                        <w:rPr>
                          <w:b/>
                          <w:bCs/>
                          <w:i/>
                          <w:iCs/>
                          <w:color w:val="FFFFFF" w:themeColor="background1"/>
                          <w:kern w:val="24"/>
                          <w:sz w:val="20"/>
                          <w:szCs w:val="20"/>
                        </w:rPr>
                      </w:pPr>
                      <w:r w:rsidRPr="00803592">
                        <w:rPr>
                          <w:b/>
                          <w:bCs/>
                          <w:i/>
                          <w:iCs/>
                          <w:color w:val="FFFFFF" w:themeColor="background1"/>
                          <w:kern w:val="24"/>
                          <w:sz w:val="20"/>
                          <w:szCs w:val="20"/>
                        </w:rPr>
                        <w:t xml:space="preserve">Autres critères privilégiés par rapport au prix et aux coûts immédiats lors de l’exécution des ordres de clients </w:t>
                      </w:r>
                    </w:p>
                    <w:p w:rsidR="00F028B2" w:rsidRPr="00803592" w:rsidRDefault="00F028B2" w:rsidP="00F028B2">
                      <w:pPr>
                        <w:pStyle w:val="NormalWeb"/>
                        <w:spacing w:before="0" w:beforeAutospacing="0"/>
                        <w:rPr>
                          <w:b/>
                          <w:bCs/>
                          <w:i/>
                          <w:iCs/>
                          <w:color w:val="FFFFFF" w:themeColor="background1"/>
                          <w:kern w:val="24"/>
                          <w:sz w:val="20"/>
                          <w:szCs w:val="20"/>
                        </w:rPr>
                      </w:pPr>
                      <w:proofErr w:type="gramStart"/>
                      <w:r w:rsidRPr="00803592">
                        <w:rPr>
                          <w:b/>
                          <w:bCs/>
                          <w:i/>
                          <w:iCs/>
                          <w:color w:val="FFFFFF" w:themeColor="background1"/>
                          <w:kern w:val="24"/>
                          <w:sz w:val="20"/>
                          <w:szCs w:val="20"/>
                        </w:rPr>
                        <w:t>non</w:t>
                      </w:r>
                      <w:proofErr w:type="gramEnd"/>
                      <w:r w:rsidRPr="00803592">
                        <w:rPr>
                          <w:b/>
                          <w:bCs/>
                          <w:i/>
                          <w:iCs/>
                          <w:color w:val="FFFFFF" w:themeColor="background1"/>
                          <w:kern w:val="24"/>
                          <w:sz w:val="20"/>
                          <w:szCs w:val="20"/>
                        </w:rPr>
                        <w:t xml:space="preserve"> professionnels</w:t>
                      </w:r>
                    </w:p>
                    <w:p w:rsidR="00F028B2" w:rsidRPr="000547F9" w:rsidRDefault="00F028B2" w:rsidP="00F028B2">
                      <w:pPr>
                        <w:pStyle w:val="NormalWeb"/>
                        <w:spacing w:before="0" w:beforeAutospacing="0" w:after="0" w:afterAutospacing="0"/>
                      </w:pPr>
                    </w:p>
                  </w:txbxContent>
                </v:textbox>
              </v:rect>
            </w:pict>
          </mc:Fallback>
        </mc:AlternateContent>
      </w:r>
    </w:p>
    <w:p w:rsidR="00781AB9" w:rsidRDefault="00781AB9" w:rsidP="000547F9">
      <w:pPr>
        <w:spacing w:before="120"/>
        <w:rPr>
          <w:rFonts w:eastAsia="+mn-ea"/>
          <w:color w:val="404040"/>
          <w:kern w:val="24"/>
          <w:sz w:val="24"/>
          <w:szCs w:val="24"/>
        </w:rPr>
      </w:pPr>
    </w:p>
    <w:p w:rsidR="00F028B2" w:rsidRDefault="00F028B2" w:rsidP="00F028B2">
      <w:pPr>
        <w:rPr>
          <w:rFonts w:eastAsia="+mn-ea"/>
          <w:color w:val="404040"/>
          <w:kern w:val="24"/>
          <w:sz w:val="24"/>
          <w:szCs w:val="24"/>
        </w:rPr>
      </w:pPr>
    </w:p>
    <w:p w:rsidR="00F028B2" w:rsidRDefault="00F028B2" w:rsidP="00F028B2">
      <w:pPr>
        <w:rPr>
          <w:rFonts w:eastAsia="+mn-ea"/>
          <w:color w:val="404040"/>
          <w:kern w:val="24"/>
        </w:rPr>
      </w:pPr>
      <w:r w:rsidRPr="00803592">
        <w:rPr>
          <w:rFonts w:eastAsia="+mn-ea"/>
          <w:color w:val="404040"/>
          <w:kern w:val="24"/>
        </w:rPr>
        <w:t>NEANT</w:t>
      </w:r>
    </w:p>
    <w:p w:rsidR="00803592" w:rsidRDefault="00803592" w:rsidP="00F028B2">
      <w:pPr>
        <w:rPr>
          <w:rFonts w:eastAsia="+mn-ea"/>
          <w:color w:val="404040"/>
          <w:kern w:val="24"/>
        </w:rPr>
      </w:pPr>
    </w:p>
    <w:p w:rsidR="00803592" w:rsidRDefault="00803592" w:rsidP="00F028B2">
      <w:pPr>
        <w:rPr>
          <w:rFonts w:eastAsia="+mn-ea"/>
          <w:color w:val="404040"/>
          <w:kern w:val="24"/>
        </w:rPr>
      </w:pPr>
      <w:r>
        <w:rPr>
          <w:rFonts w:eastAsia="+mn-ea"/>
          <w:color w:val="404040"/>
          <w:kern w:val="24"/>
        </w:rPr>
        <w:tab/>
      </w:r>
      <w:r>
        <w:rPr>
          <w:rFonts w:eastAsia="+mn-ea"/>
          <w:color w:val="404040"/>
          <w:kern w:val="24"/>
        </w:rPr>
        <w:tab/>
      </w:r>
      <w:r>
        <w:rPr>
          <w:rFonts w:eastAsia="+mn-ea"/>
          <w:color w:val="404040"/>
          <w:kern w:val="24"/>
        </w:rPr>
        <w:tab/>
      </w:r>
      <w:r>
        <w:rPr>
          <w:rFonts w:eastAsia="+mn-ea"/>
          <w:color w:val="404040"/>
          <w:kern w:val="24"/>
        </w:rPr>
        <w:tab/>
      </w:r>
      <w:r>
        <w:rPr>
          <w:rFonts w:eastAsia="+mn-ea"/>
          <w:color w:val="404040"/>
          <w:kern w:val="24"/>
        </w:rPr>
        <w:tab/>
      </w:r>
      <w:r>
        <w:rPr>
          <w:rFonts w:eastAsia="+mn-ea"/>
          <w:color w:val="404040"/>
          <w:kern w:val="24"/>
        </w:rPr>
        <w:tab/>
      </w:r>
      <w:r>
        <w:rPr>
          <w:rFonts w:eastAsia="+mn-ea"/>
          <w:color w:val="404040"/>
          <w:kern w:val="24"/>
        </w:rPr>
        <w:tab/>
      </w:r>
      <w:r>
        <w:rPr>
          <w:rFonts w:eastAsia="+mn-ea"/>
          <w:color w:val="404040"/>
          <w:kern w:val="24"/>
        </w:rPr>
        <w:tab/>
      </w:r>
      <w:r>
        <w:rPr>
          <w:rFonts w:eastAsia="+mn-ea"/>
          <w:color w:val="404040"/>
          <w:kern w:val="24"/>
        </w:rPr>
        <w:tab/>
      </w:r>
      <w:r>
        <w:rPr>
          <w:rFonts w:eastAsia="+mn-ea"/>
          <w:color w:val="404040"/>
          <w:kern w:val="24"/>
        </w:rPr>
        <w:tab/>
      </w:r>
      <w:r>
        <w:rPr>
          <w:rFonts w:eastAsia="+mn-ea"/>
          <w:color w:val="404040"/>
          <w:kern w:val="24"/>
        </w:rPr>
        <w:tab/>
      </w:r>
      <w:r>
        <w:rPr>
          <w:rFonts w:eastAsia="+mn-ea"/>
          <w:color w:val="404040"/>
          <w:kern w:val="24"/>
        </w:rPr>
        <w:tab/>
      </w:r>
      <w:r>
        <w:rPr>
          <w:rFonts w:eastAsia="+mn-ea"/>
          <w:color w:val="404040"/>
          <w:kern w:val="24"/>
        </w:rPr>
        <w:tab/>
        <w:t>…../…..</w:t>
      </w:r>
    </w:p>
    <w:p w:rsidR="00803592" w:rsidRPr="00803592" w:rsidRDefault="00803592" w:rsidP="00F028B2">
      <w:pPr>
        <w:rPr>
          <w:rFonts w:eastAsia="+mn-ea"/>
          <w:color w:val="404040"/>
          <w:kern w:val="24"/>
          <w:sz w:val="16"/>
          <w:szCs w:val="16"/>
        </w:rPr>
      </w:pPr>
    </w:p>
    <w:p w:rsidR="00803592" w:rsidRPr="00F028B2" w:rsidRDefault="00803592" w:rsidP="00803592">
      <w:pPr>
        <w:pStyle w:val="Paragraphedeliste"/>
        <w:numPr>
          <w:ilvl w:val="0"/>
          <w:numId w:val="10"/>
        </w:numPr>
        <w:ind w:left="284"/>
        <w:contextualSpacing/>
        <w:rPr>
          <w:sz w:val="14"/>
          <w:szCs w:val="24"/>
        </w:rPr>
      </w:pPr>
      <w:r w:rsidRPr="000547F9">
        <w:rPr>
          <w:rFonts w:ascii="Arial" w:eastAsia="+mn-ea" w:hAnsi="Arial" w:cs="+mn-cs"/>
          <w:i/>
          <w:iCs/>
          <w:color w:val="262626"/>
          <w:kern w:val="24"/>
          <w:sz w:val="14"/>
          <w:szCs w:val="14"/>
        </w:rPr>
        <w:t xml:space="preserve">Pour mémoire : une </w:t>
      </w:r>
      <w:r w:rsidRPr="000547F9">
        <w:rPr>
          <w:rFonts w:ascii="Arial" w:eastAsia="+mn-ea" w:hAnsi="Arial" w:cs="+mn-cs"/>
          <w:b/>
          <w:bCs/>
          <w:i/>
          <w:iCs/>
          <w:color w:val="262626"/>
          <w:kern w:val="24"/>
          <w:sz w:val="14"/>
          <w:szCs w:val="14"/>
        </w:rPr>
        <w:t xml:space="preserve">plateforme d'exécution </w:t>
      </w:r>
      <w:r w:rsidRPr="000547F9">
        <w:rPr>
          <w:rFonts w:ascii="Arial" w:eastAsia="+mn-ea" w:hAnsi="Arial" w:cs="+mn-cs"/>
          <w:i/>
          <w:iCs/>
          <w:color w:val="262626"/>
          <w:kern w:val="24"/>
          <w:sz w:val="14"/>
          <w:szCs w:val="14"/>
        </w:rPr>
        <w:t xml:space="preserve">est un </w:t>
      </w:r>
      <w:r w:rsidRPr="000547F9">
        <w:rPr>
          <w:rFonts w:ascii="Arial" w:eastAsia="+mn-ea" w:hAnsi="Arial" w:cs="+mn-cs"/>
          <w:b/>
          <w:bCs/>
          <w:i/>
          <w:iCs/>
          <w:color w:val="262626"/>
          <w:kern w:val="24"/>
          <w:sz w:val="14"/>
          <w:szCs w:val="14"/>
        </w:rPr>
        <w:t xml:space="preserve">marché réglementé </w:t>
      </w:r>
      <w:r w:rsidRPr="000547F9">
        <w:rPr>
          <w:rFonts w:ascii="Arial" w:eastAsia="+mn-ea" w:hAnsi="Arial" w:cs="+mn-cs"/>
          <w:i/>
          <w:iCs/>
          <w:color w:val="262626"/>
          <w:kern w:val="24"/>
          <w:sz w:val="14"/>
          <w:szCs w:val="14"/>
        </w:rPr>
        <w:t>(</w:t>
      </w:r>
      <w:proofErr w:type="spellStart"/>
      <w:r w:rsidRPr="000547F9">
        <w:rPr>
          <w:rFonts w:ascii="Arial" w:eastAsia="+mn-ea" w:hAnsi="Arial" w:cs="+mn-cs"/>
          <w:i/>
          <w:iCs/>
          <w:color w:val="262626"/>
          <w:kern w:val="24"/>
          <w:sz w:val="14"/>
          <w:szCs w:val="14"/>
        </w:rPr>
        <w:t>Ex.Euronext</w:t>
      </w:r>
      <w:proofErr w:type="spellEnd"/>
      <w:r w:rsidRPr="000547F9">
        <w:rPr>
          <w:rFonts w:ascii="Arial" w:eastAsia="+mn-ea" w:hAnsi="Arial" w:cs="+mn-cs"/>
          <w:i/>
          <w:iCs/>
          <w:color w:val="262626"/>
          <w:kern w:val="24"/>
          <w:sz w:val="14"/>
          <w:szCs w:val="14"/>
        </w:rPr>
        <w:t xml:space="preserve">), un </w:t>
      </w:r>
      <w:r w:rsidRPr="000547F9">
        <w:rPr>
          <w:rFonts w:ascii="Arial" w:eastAsia="+mn-ea" w:hAnsi="Arial" w:cs="+mn-cs"/>
          <w:b/>
          <w:bCs/>
          <w:i/>
          <w:iCs/>
          <w:color w:val="262626"/>
          <w:kern w:val="24"/>
          <w:sz w:val="14"/>
          <w:szCs w:val="14"/>
        </w:rPr>
        <w:t>MTF</w:t>
      </w:r>
      <w:r w:rsidRPr="000547F9">
        <w:rPr>
          <w:rFonts w:ascii="Arial" w:eastAsia="+mn-ea" w:hAnsi="Arial" w:cs="+mn-cs"/>
          <w:i/>
          <w:iCs/>
          <w:color w:val="262626"/>
          <w:kern w:val="24"/>
          <w:sz w:val="14"/>
          <w:szCs w:val="14"/>
        </w:rPr>
        <w:t xml:space="preserve"> (</w:t>
      </w:r>
      <w:proofErr w:type="spellStart"/>
      <w:r w:rsidRPr="000547F9">
        <w:rPr>
          <w:rFonts w:ascii="Arial" w:eastAsia="+mn-ea" w:hAnsi="Arial" w:cs="+mn-cs"/>
          <w:i/>
          <w:iCs/>
          <w:color w:val="262626"/>
          <w:kern w:val="24"/>
          <w:sz w:val="14"/>
          <w:szCs w:val="14"/>
        </w:rPr>
        <w:t>Multilateral</w:t>
      </w:r>
      <w:proofErr w:type="spellEnd"/>
      <w:r w:rsidRPr="000547F9">
        <w:rPr>
          <w:rFonts w:ascii="Arial" w:eastAsia="+mn-ea" w:hAnsi="Arial" w:cs="+mn-cs"/>
          <w:i/>
          <w:iCs/>
          <w:color w:val="262626"/>
          <w:kern w:val="24"/>
          <w:sz w:val="14"/>
          <w:szCs w:val="14"/>
        </w:rPr>
        <w:t xml:space="preserve"> Trading Facility ou système multilatéral de négociation. Ex. Turquoise), un </w:t>
      </w:r>
      <w:r w:rsidRPr="000547F9">
        <w:rPr>
          <w:rFonts w:ascii="Arial" w:eastAsia="+mn-ea" w:hAnsi="Arial" w:cs="+mn-cs"/>
          <w:b/>
          <w:bCs/>
          <w:i/>
          <w:iCs/>
          <w:color w:val="262626"/>
          <w:kern w:val="24"/>
          <w:sz w:val="14"/>
          <w:szCs w:val="14"/>
        </w:rPr>
        <w:t>OTF</w:t>
      </w:r>
      <w:r w:rsidRPr="000547F9">
        <w:rPr>
          <w:rFonts w:ascii="Arial" w:eastAsia="+mn-ea" w:hAnsi="Arial" w:cs="+mn-cs"/>
          <w:i/>
          <w:iCs/>
          <w:color w:val="262626"/>
          <w:kern w:val="24"/>
          <w:sz w:val="14"/>
          <w:szCs w:val="14"/>
        </w:rPr>
        <w:t xml:space="preserve"> (</w:t>
      </w:r>
      <w:proofErr w:type="spellStart"/>
      <w:r w:rsidRPr="000547F9">
        <w:rPr>
          <w:rFonts w:ascii="Arial" w:eastAsia="+mn-ea" w:hAnsi="Arial" w:cs="+mn-cs"/>
          <w:i/>
          <w:iCs/>
          <w:color w:val="262626"/>
          <w:kern w:val="24"/>
          <w:sz w:val="14"/>
          <w:szCs w:val="14"/>
        </w:rPr>
        <w:t>Organised</w:t>
      </w:r>
      <w:proofErr w:type="spellEnd"/>
      <w:r w:rsidRPr="000547F9">
        <w:rPr>
          <w:rFonts w:ascii="Arial" w:eastAsia="+mn-ea" w:hAnsi="Arial" w:cs="+mn-cs"/>
          <w:i/>
          <w:iCs/>
          <w:color w:val="262626"/>
          <w:kern w:val="24"/>
          <w:sz w:val="14"/>
          <w:szCs w:val="14"/>
        </w:rPr>
        <w:t xml:space="preserve"> Trading Facility ou système organisé de négociation</w:t>
      </w:r>
      <w:proofErr w:type="gramStart"/>
      <w:r w:rsidRPr="000547F9">
        <w:rPr>
          <w:rFonts w:ascii="Arial" w:eastAsia="+mn-ea" w:hAnsi="Arial" w:cs="+mn-cs"/>
          <w:i/>
          <w:iCs/>
          <w:color w:val="262626"/>
          <w:kern w:val="24"/>
          <w:sz w:val="14"/>
          <w:szCs w:val="14"/>
        </w:rPr>
        <w:t>) ,</w:t>
      </w:r>
      <w:proofErr w:type="gramEnd"/>
      <w:r w:rsidRPr="000547F9">
        <w:rPr>
          <w:rFonts w:ascii="Arial" w:eastAsia="+mn-ea" w:hAnsi="Arial" w:cs="+mn-cs"/>
          <w:i/>
          <w:iCs/>
          <w:color w:val="262626"/>
          <w:kern w:val="24"/>
          <w:sz w:val="14"/>
          <w:szCs w:val="14"/>
        </w:rPr>
        <w:t xml:space="preserve"> un </w:t>
      </w:r>
      <w:proofErr w:type="spellStart"/>
      <w:r w:rsidRPr="000547F9">
        <w:rPr>
          <w:rFonts w:ascii="Arial" w:eastAsia="+mn-ea" w:hAnsi="Arial" w:cs="+mn-cs"/>
          <w:b/>
          <w:bCs/>
          <w:i/>
          <w:iCs/>
          <w:color w:val="262626"/>
          <w:kern w:val="24"/>
          <w:sz w:val="14"/>
          <w:szCs w:val="14"/>
        </w:rPr>
        <w:t>internalisateur</w:t>
      </w:r>
      <w:proofErr w:type="spellEnd"/>
      <w:r w:rsidRPr="000547F9">
        <w:rPr>
          <w:rFonts w:ascii="Arial" w:eastAsia="+mn-ea" w:hAnsi="Arial" w:cs="+mn-cs"/>
          <w:b/>
          <w:bCs/>
          <w:i/>
          <w:iCs/>
          <w:color w:val="262626"/>
          <w:kern w:val="24"/>
          <w:sz w:val="14"/>
          <w:szCs w:val="14"/>
        </w:rPr>
        <w:t xml:space="preserve"> systématique </w:t>
      </w:r>
      <w:r w:rsidRPr="000547F9">
        <w:rPr>
          <w:rFonts w:ascii="Arial" w:eastAsia="+mn-ea" w:hAnsi="Arial" w:cs="+mn-cs"/>
          <w:i/>
          <w:iCs/>
          <w:color w:val="262626"/>
          <w:kern w:val="24"/>
          <w:sz w:val="14"/>
          <w:szCs w:val="14"/>
        </w:rPr>
        <w:t xml:space="preserve">(Ex. CACIB), un </w:t>
      </w:r>
      <w:r w:rsidRPr="000547F9">
        <w:rPr>
          <w:rFonts w:ascii="Arial" w:eastAsia="+mn-ea" w:hAnsi="Arial" w:cs="+mn-cs"/>
          <w:b/>
          <w:bCs/>
          <w:i/>
          <w:iCs/>
          <w:color w:val="262626"/>
          <w:kern w:val="24"/>
          <w:sz w:val="14"/>
          <w:szCs w:val="14"/>
        </w:rPr>
        <w:t xml:space="preserve">teneur de marché </w:t>
      </w:r>
      <w:r w:rsidRPr="000547F9">
        <w:rPr>
          <w:rFonts w:ascii="Arial" w:eastAsia="+mn-ea" w:hAnsi="Arial" w:cs="+mn-cs"/>
          <w:i/>
          <w:iCs/>
          <w:color w:val="262626"/>
          <w:kern w:val="24"/>
          <w:sz w:val="14"/>
          <w:szCs w:val="14"/>
        </w:rPr>
        <w:t xml:space="preserve">ou un autre </w:t>
      </w:r>
      <w:r w:rsidRPr="000547F9">
        <w:rPr>
          <w:rFonts w:ascii="Arial" w:eastAsia="+mn-ea" w:hAnsi="Arial" w:cs="+mn-cs"/>
          <w:b/>
          <w:bCs/>
          <w:i/>
          <w:iCs/>
          <w:color w:val="262626"/>
          <w:kern w:val="24"/>
          <w:sz w:val="14"/>
          <w:szCs w:val="14"/>
        </w:rPr>
        <w:t>fournisseur de liquidité</w:t>
      </w:r>
      <w:r w:rsidRPr="000547F9">
        <w:rPr>
          <w:rFonts w:ascii="Arial" w:eastAsia="+mn-ea" w:hAnsi="Arial" w:cs="+mn-cs"/>
          <w:i/>
          <w:iCs/>
          <w:color w:val="262626"/>
          <w:kern w:val="24"/>
          <w:sz w:val="14"/>
          <w:szCs w:val="14"/>
        </w:rPr>
        <w:t xml:space="preserve"> - (définition issue du Règlement délégué UE 2017/565)</w:t>
      </w:r>
    </w:p>
    <w:p w:rsidR="00F028B2" w:rsidRDefault="00F028B2" w:rsidP="000547F9">
      <w:pPr>
        <w:spacing w:before="120"/>
        <w:rPr>
          <w:rFonts w:eastAsia="+mn-ea"/>
          <w:color w:val="404040"/>
          <w:kern w:val="24"/>
          <w:sz w:val="24"/>
          <w:szCs w:val="24"/>
        </w:rPr>
      </w:pPr>
      <w:r w:rsidRPr="000547F9">
        <w:rPr>
          <w:noProof/>
          <w:sz w:val="24"/>
          <w:szCs w:val="24"/>
        </w:rPr>
        <mc:AlternateContent>
          <mc:Choice Requires="wps">
            <w:drawing>
              <wp:anchor distT="0" distB="0" distL="114300" distR="114300" simplePos="0" relativeHeight="251671552" behindDoc="0" locked="0" layoutInCell="1" allowOverlap="1" wp14:anchorId="0D7E4648" wp14:editId="405AEDE1">
                <wp:simplePos x="0" y="0"/>
                <wp:positionH relativeFrom="column">
                  <wp:posOffset>-312192</wp:posOffset>
                </wp:positionH>
                <wp:positionV relativeFrom="paragraph">
                  <wp:posOffset>186474</wp:posOffset>
                </wp:positionV>
                <wp:extent cx="7279640" cy="499745"/>
                <wp:effectExtent l="0" t="0" r="0" b="0"/>
                <wp:wrapNone/>
                <wp:docPr id="8" name="Rectangle 9"/>
                <wp:cNvGraphicFramePr/>
                <a:graphic xmlns:a="http://schemas.openxmlformats.org/drawingml/2006/main">
                  <a:graphicData uri="http://schemas.microsoft.com/office/word/2010/wordprocessingShape">
                    <wps:wsp>
                      <wps:cNvSpPr/>
                      <wps:spPr>
                        <a:xfrm>
                          <a:off x="0" y="0"/>
                          <a:ext cx="7279640" cy="499745"/>
                        </a:xfrm>
                        <a:prstGeom prst="rect">
                          <a:avLst/>
                        </a:prstGeom>
                        <a:solidFill>
                          <a:schemeClr val="accent3">
                            <a:lumMod val="75000"/>
                          </a:schemeClr>
                        </a:solidFill>
                      </wps:spPr>
                      <wps:txbx>
                        <w:txbxContent>
                          <w:p w:rsidR="00F028B2" w:rsidRPr="00803592" w:rsidRDefault="00F028B2" w:rsidP="00F028B2">
                            <w:pPr>
                              <w:pStyle w:val="NormalWeb"/>
                              <w:spacing w:before="0" w:beforeAutospacing="0" w:after="0" w:afterAutospacing="0"/>
                              <w:rPr>
                                <w:sz w:val="20"/>
                                <w:szCs w:val="20"/>
                              </w:rPr>
                            </w:pPr>
                            <w:r w:rsidRPr="00803592">
                              <w:rPr>
                                <w:b/>
                                <w:bCs/>
                                <w:i/>
                                <w:iCs/>
                                <w:color w:val="FFFFFF" w:themeColor="background1"/>
                                <w:kern w:val="24"/>
                                <w:sz w:val="20"/>
                                <w:szCs w:val="20"/>
                              </w:rPr>
                              <w:t>Utilisation des données ou des outils en rapport avec la qualité d'exécution, fournis par les plateformes d’exécution conformément au RD (UE) 2017/575</w:t>
                            </w:r>
                          </w:p>
                        </w:txbxContent>
                      </wps:txbx>
                      <wps:bodyPr wrap="square" lIns="36000" rIns="36000">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24.6pt;margin-top:14.7pt;width:573.2pt;height:3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" fillcolor="#76923c [2406]" stroked="f">
                <v:textbox inset="1mm,,1mm">
                  <w:txbxContent>
                    <w:p w:rsidR="00F028B2" w:rsidRPr="00803592" w:rsidRDefault="00F028B2" w:rsidP="00F028B2">
                      <w:pPr>
                        <w:pStyle w:val="NormalWeb"/>
                        <w:spacing w:before="0" w:beforeAutospacing="0" w:after="0" w:afterAutospacing="0"/>
                        <w:rPr>
                          <w:sz w:val="20"/>
                          <w:szCs w:val="20"/>
                        </w:rPr>
                      </w:pPr>
                      <w:r w:rsidRPr="00803592">
                        <w:rPr>
                          <w:b/>
                          <w:bCs/>
                          <w:i/>
                          <w:iCs/>
                          <w:color w:val="FFFFFF" w:themeColor="background1"/>
                          <w:kern w:val="24"/>
                          <w:sz w:val="20"/>
                          <w:szCs w:val="20"/>
                        </w:rPr>
                        <w:t>Utilisation des données ou des outils en rapport avec la qualité d'exécution, fournis par les plateformes d’exécution conformément au RD (UE) 2017/575</w:t>
                      </w:r>
                    </w:p>
                  </w:txbxContent>
                </v:textbox>
              </v:rect>
            </w:pict>
          </mc:Fallback>
        </mc:AlternateContent>
      </w:r>
    </w:p>
    <w:p w:rsidR="00F028B2" w:rsidRDefault="00F028B2" w:rsidP="000547F9">
      <w:pPr>
        <w:spacing w:before="120"/>
        <w:rPr>
          <w:rFonts w:eastAsia="+mn-ea"/>
          <w:color w:val="404040"/>
          <w:kern w:val="24"/>
          <w:sz w:val="24"/>
          <w:szCs w:val="24"/>
        </w:rPr>
      </w:pPr>
    </w:p>
    <w:p w:rsidR="00F028B2" w:rsidRPr="00F028B2" w:rsidRDefault="00F028B2" w:rsidP="000547F9">
      <w:pPr>
        <w:spacing w:before="120"/>
        <w:rPr>
          <w:rFonts w:eastAsia="+mn-ea"/>
          <w:color w:val="404040"/>
          <w:kern w:val="24"/>
          <w:sz w:val="24"/>
          <w:szCs w:val="24"/>
          <w:u w:val="single"/>
        </w:rPr>
      </w:pPr>
    </w:p>
    <w:p w:rsidR="00803592" w:rsidRDefault="00803592" w:rsidP="00F028B2">
      <w:pPr>
        <w:rPr>
          <w:rFonts w:eastAsia="+mn-ea"/>
          <w:color w:val="404040"/>
          <w:kern w:val="24"/>
        </w:rPr>
      </w:pPr>
    </w:p>
    <w:p w:rsidR="00F028B2" w:rsidRPr="00803592" w:rsidRDefault="00F028B2" w:rsidP="00F028B2">
      <w:pPr>
        <w:rPr>
          <w:rFonts w:eastAsia="+mn-ea"/>
          <w:color w:val="404040"/>
          <w:kern w:val="24"/>
        </w:rPr>
      </w:pPr>
      <w:r w:rsidRPr="00803592">
        <w:rPr>
          <w:rFonts w:eastAsia="+mn-ea"/>
          <w:color w:val="404040"/>
          <w:kern w:val="24"/>
        </w:rPr>
        <w:t>NEANT</w:t>
      </w:r>
    </w:p>
    <w:p w:rsidR="00F028B2" w:rsidRDefault="00F028B2" w:rsidP="000547F9">
      <w:pPr>
        <w:spacing w:before="120"/>
        <w:rPr>
          <w:sz w:val="24"/>
          <w:szCs w:val="24"/>
        </w:rPr>
      </w:pPr>
      <w:r w:rsidRPr="00F028B2">
        <w:rPr>
          <w:noProof/>
          <w:sz w:val="24"/>
          <w:szCs w:val="24"/>
        </w:rPr>
        <mc:AlternateContent>
          <mc:Choice Requires="wps">
            <w:drawing>
              <wp:anchor distT="0" distB="0" distL="114300" distR="114300" simplePos="0" relativeHeight="251673600" behindDoc="0" locked="0" layoutInCell="1" allowOverlap="1" wp14:anchorId="4F3975C0" wp14:editId="6A671892">
                <wp:simplePos x="0" y="0"/>
                <wp:positionH relativeFrom="column">
                  <wp:posOffset>-312192</wp:posOffset>
                </wp:positionH>
                <wp:positionV relativeFrom="paragraph">
                  <wp:posOffset>212977</wp:posOffset>
                </wp:positionV>
                <wp:extent cx="7279640" cy="344805"/>
                <wp:effectExtent l="0" t="0" r="0" b="0"/>
                <wp:wrapNone/>
                <wp:docPr id="9" name="Rectangle 9"/>
                <wp:cNvGraphicFramePr/>
                <a:graphic xmlns:a="http://schemas.openxmlformats.org/drawingml/2006/main">
                  <a:graphicData uri="http://schemas.microsoft.com/office/word/2010/wordprocessingShape">
                    <wps:wsp>
                      <wps:cNvSpPr/>
                      <wps:spPr>
                        <a:xfrm>
                          <a:off x="0" y="0"/>
                          <a:ext cx="7279640" cy="344805"/>
                        </a:xfrm>
                        <a:prstGeom prst="rect">
                          <a:avLst/>
                        </a:prstGeom>
                        <a:solidFill>
                          <a:schemeClr val="accent3">
                            <a:lumMod val="75000"/>
                          </a:schemeClr>
                        </a:solidFill>
                      </wps:spPr>
                      <wps:txbx>
                        <w:txbxContent>
                          <w:p w:rsidR="00F028B2" w:rsidRPr="00803592" w:rsidRDefault="00F028B2" w:rsidP="00F028B2">
                            <w:pPr>
                              <w:pStyle w:val="NormalWeb"/>
                              <w:rPr>
                                <w:b/>
                                <w:bCs/>
                                <w:i/>
                                <w:iCs/>
                                <w:color w:val="FFFFFF" w:themeColor="background1"/>
                                <w:kern w:val="24"/>
                                <w:sz w:val="20"/>
                                <w:szCs w:val="20"/>
                              </w:rPr>
                            </w:pPr>
                            <w:r w:rsidRPr="00803592">
                              <w:rPr>
                                <w:b/>
                                <w:bCs/>
                                <w:i/>
                                <w:iCs/>
                                <w:color w:val="FFFFFF" w:themeColor="background1"/>
                                <w:kern w:val="24"/>
                                <w:sz w:val="20"/>
                                <w:szCs w:val="20"/>
                              </w:rPr>
                              <w:t>Utilisation des éléments provenant d’un fournisseur de système consolidé de publication (CTP)</w:t>
                            </w:r>
                          </w:p>
                          <w:p w:rsidR="00F028B2" w:rsidRPr="000547F9" w:rsidRDefault="00F028B2" w:rsidP="00F028B2">
                            <w:pPr>
                              <w:pStyle w:val="NormalWeb"/>
                              <w:spacing w:before="0" w:beforeAutospacing="0" w:after="0" w:afterAutospacing="0"/>
                            </w:pPr>
                          </w:p>
                        </w:txbxContent>
                      </wps:txbx>
                      <wps:bodyPr wrap="square" lIns="36000" rIns="36000">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24.6pt;margin-top:16.75pt;width:573.2pt;height:2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" fillcolor="#76923c [2406]" stroked="f">
                <v:textbox inset="1mm,,1mm">
                  <w:txbxContent>
                    <w:p w:rsidR="00F028B2" w:rsidRPr="00803592" w:rsidRDefault="00F028B2" w:rsidP="00F028B2">
                      <w:pPr>
                        <w:pStyle w:val="NormalWeb"/>
                        <w:rPr>
                          <w:b/>
                          <w:bCs/>
                          <w:i/>
                          <w:iCs/>
                          <w:color w:val="FFFFFF" w:themeColor="background1"/>
                          <w:kern w:val="24"/>
                          <w:sz w:val="20"/>
                          <w:szCs w:val="20"/>
                        </w:rPr>
                      </w:pPr>
                      <w:r w:rsidRPr="00803592">
                        <w:rPr>
                          <w:b/>
                          <w:bCs/>
                          <w:i/>
                          <w:iCs/>
                          <w:color w:val="FFFFFF" w:themeColor="background1"/>
                          <w:kern w:val="24"/>
                          <w:sz w:val="20"/>
                          <w:szCs w:val="20"/>
                        </w:rPr>
                        <w:t>Utilisation des éléments provenant d’un fournisseur de système consolidé de publication (CTP)</w:t>
                      </w:r>
                    </w:p>
                    <w:p w:rsidR="00F028B2" w:rsidRPr="000547F9" w:rsidRDefault="00F028B2" w:rsidP="00F028B2">
                      <w:pPr>
                        <w:pStyle w:val="NormalWeb"/>
                        <w:spacing w:before="0" w:beforeAutospacing="0" w:after="0" w:afterAutospacing="0"/>
                      </w:pPr>
                    </w:p>
                  </w:txbxContent>
                </v:textbox>
              </v:rect>
            </w:pict>
          </mc:Fallback>
        </mc:AlternateContent>
      </w:r>
    </w:p>
    <w:p w:rsidR="00F028B2" w:rsidRDefault="00F028B2" w:rsidP="000547F9">
      <w:pPr>
        <w:spacing w:before="120"/>
        <w:rPr>
          <w:sz w:val="24"/>
          <w:szCs w:val="24"/>
        </w:rPr>
      </w:pPr>
    </w:p>
    <w:p w:rsidR="002C2127" w:rsidRDefault="002C2127" w:rsidP="00F028B2">
      <w:pPr>
        <w:rPr>
          <w:rFonts w:eastAsia="+mn-ea"/>
          <w:color w:val="404040"/>
          <w:kern w:val="24"/>
          <w:sz w:val="24"/>
          <w:szCs w:val="24"/>
        </w:rPr>
      </w:pPr>
    </w:p>
    <w:p w:rsidR="00F028B2" w:rsidRDefault="00F028B2" w:rsidP="00F028B2">
      <w:pPr>
        <w:rPr>
          <w:rFonts w:eastAsia="+mn-ea"/>
          <w:color w:val="404040"/>
          <w:kern w:val="24"/>
        </w:rPr>
      </w:pPr>
      <w:r w:rsidRPr="00803592">
        <w:rPr>
          <w:rFonts w:eastAsia="+mn-ea"/>
          <w:color w:val="404040"/>
          <w:kern w:val="24"/>
        </w:rPr>
        <w:t>NEANT</w:t>
      </w:r>
    </w:p>
    <w:p w:rsidR="00803592" w:rsidRPr="00803592" w:rsidRDefault="00803592" w:rsidP="00F028B2">
      <w:pPr>
        <w:rPr>
          <w:rFonts w:eastAsia="+mn-ea"/>
          <w:color w:val="404040"/>
          <w:kern w:val="24"/>
        </w:rPr>
      </w:pPr>
    </w:p>
    <w:p w:rsidR="00803592" w:rsidRDefault="00803592" w:rsidP="00803592">
      <w:pPr>
        <w:ind w:left="-426"/>
        <w:rPr>
          <w:rFonts w:ascii="Arial" w:eastAsia="+mn-ea" w:hAnsi="Arial" w:cs="+mn-cs"/>
          <w:i/>
          <w:iCs/>
          <w:color w:val="262626"/>
          <w:kern w:val="24"/>
          <w:sz w:val="14"/>
          <w:szCs w:val="14"/>
        </w:rPr>
      </w:pPr>
      <w:r>
        <w:rPr>
          <w:noProof/>
        </w:rPr>
        <w:drawing>
          <wp:inline distT="0" distB="0" distL="0" distR="0" wp14:anchorId="6AF15310" wp14:editId="38EE1FE9">
            <wp:extent cx="7256719" cy="1759789"/>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261744" cy="1761008"/>
                    </a:xfrm>
                    <a:prstGeom prst="rect">
                      <a:avLst/>
                    </a:prstGeom>
                  </pic:spPr>
                </pic:pic>
              </a:graphicData>
            </a:graphic>
          </wp:inline>
        </w:drawing>
      </w:r>
    </w:p>
    <w:p w:rsidR="00803592" w:rsidRDefault="00803592" w:rsidP="00803592">
      <w:pPr>
        <w:ind w:left="-426"/>
        <w:rPr>
          <w:rFonts w:ascii="Arial" w:eastAsia="+mn-ea" w:hAnsi="Arial" w:cs="+mn-cs"/>
          <w:i/>
          <w:iCs/>
          <w:color w:val="262626"/>
          <w:kern w:val="24"/>
          <w:sz w:val="14"/>
          <w:szCs w:val="14"/>
        </w:rPr>
      </w:pPr>
    </w:p>
    <w:p w:rsidR="00803592" w:rsidRDefault="00803592" w:rsidP="00803592">
      <w:pPr>
        <w:ind w:left="-426"/>
        <w:rPr>
          <w:rFonts w:ascii="Arial" w:eastAsia="+mn-ea" w:hAnsi="Arial" w:cs="+mn-cs"/>
          <w:i/>
          <w:iCs/>
          <w:color w:val="262626"/>
          <w:kern w:val="24"/>
          <w:sz w:val="14"/>
          <w:szCs w:val="14"/>
        </w:rPr>
      </w:pPr>
      <w:r>
        <w:rPr>
          <w:noProof/>
        </w:rPr>
        <w:drawing>
          <wp:inline distT="0" distB="0" distL="0" distR="0" wp14:anchorId="29E93245" wp14:editId="7FF93AF5">
            <wp:extent cx="7254815" cy="1756243"/>
            <wp:effectExtent l="0" t="0" r="381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258863" cy="1757223"/>
                    </a:xfrm>
                    <a:prstGeom prst="rect">
                      <a:avLst/>
                    </a:prstGeom>
                  </pic:spPr>
                </pic:pic>
              </a:graphicData>
            </a:graphic>
          </wp:inline>
        </w:drawing>
      </w:r>
    </w:p>
    <w:p w:rsidR="00F028B2" w:rsidRPr="00F028B2" w:rsidRDefault="00F028B2" w:rsidP="000547F9">
      <w:pPr>
        <w:spacing w:before="120"/>
        <w:rPr>
          <w:sz w:val="24"/>
          <w:szCs w:val="24"/>
        </w:rPr>
      </w:pPr>
    </w:p>
    <w:sectPr w:rsidR="00F028B2" w:rsidRPr="00F028B2" w:rsidSect="0031091B">
      <w:headerReference w:type="default" r:id="rId12"/>
      <w:footerReference w:type="default" r:id="rId13"/>
      <w:pgSz w:w="11913" w:h="16834" w:code="9"/>
      <w:pgMar w:top="1560" w:right="573" w:bottom="1276" w:left="709" w:header="426" w:footer="6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75A" w:rsidRDefault="0075275A" w:rsidP="00E418BF">
      <w:r>
        <w:separator/>
      </w:r>
    </w:p>
  </w:endnote>
  <w:endnote w:type="continuationSeparator" w:id="0">
    <w:p w:rsidR="0075275A" w:rsidRDefault="0075275A" w:rsidP="00E4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85" w:rsidRPr="00041D85" w:rsidRDefault="00041D85" w:rsidP="00041D85">
    <w:pPr>
      <w:spacing w:before="23" w:line="278" w:lineRule="auto"/>
      <w:ind w:left="93" w:right="19" w:firstLine="2"/>
    </w:pPr>
    <w:r w:rsidRPr="00041D85">
      <w:t xml:space="preserve">La Caisse Régionale de Crédit Agricole Mutuel, Toulouse 31, société coopérative à capital et personnel variable, dont le siège social est situé  6, Place Jeanne d’Arc BP 40535 31000 Toulouse CEDEX </w:t>
    </w:r>
    <w:proofErr w:type="gramStart"/>
    <w:r w:rsidRPr="00041D85">
      <w:t>6 ,</w:t>
    </w:r>
    <w:proofErr w:type="gramEnd"/>
    <w:r w:rsidRPr="00041D85">
      <w:t xml:space="preserve"> immatriculée au registre du commerce et des sociétés sous le n°7769162207, société de courtage d’assurances immatriculée au Registre des Intermédiaires en Assurances sous le n° 07 022 950.</w:t>
    </w:r>
  </w:p>
  <w:p w:rsidR="00D8177A" w:rsidRDefault="00D817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75A" w:rsidRDefault="0075275A" w:rsidP="00E418BF">
      <w:r>
        <w:separator/>
      </w:r>
    </w:p>
  </w:footnote>
  <w:footnote w:type="continuationSeparator" w:id="0">
    <w:p w:rsidR="0075275A" w:rsidRDefault="0075275A" w:rsidP="00E41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1D" w:rsidRDefault="000A4380" w:rsidP="003A7D08">
    <w:pPr>
      <w:pStyle w:val="En-tte"/>
      <w:pBdr>
        <w:top w:val="single" w:sz="4" w:space="1" w:color="auto"/>
        <w:left w:val="single" w:sz="4" w:space="4" w:color="auto"/>
        <w:bottom w:val="single" w:sz="4" w:space="16" w:color="auto"/>
        <w:right w:val="single" w:sz="4" w:space="4" w:color="auto"/>
      </w:pBdr>
      <w:jc w:val="right"/>
      <w:rPr>
        <w:b/>
        <w:sz w:val="24"/>
        <w:szCs w:val="24"/>
      </w:rPr>
    </w:pPr>
    <w:r>
      <w:rPr>
        <w:b/>
        <w:noProof/>
        <w:sz w:val="24"/>
        <w:szCs w:val="24"/>
      </w:rPr>
      <w:drawing>
        <wp:anchor distT="0" distB="0" distL="114300" distR="114300" simplePos="0" relativeHeight="251658240" behindDoc="1" locked="0" layoutInCell="1" allowOverlap="1" wp14:anchorId="1DC98EC8" wp14:editId="5877474D">
          <wp:simplePos x="0" y="0"/>
          <wp:positionH relativeFrom="column">
            <wp:posOffset>40640</wp:posOffset>
          </wp:positionH>
          <wp:positionV relativeFrom="paragraph">
            <wp:posOffset>39370</wp:posOffset>
          </wp:positionV>
          <wp:extent cx="799465" cy="629285"/>
          <wp:effectExtent l="0" t="0" r="635" b="0"/>
          <wp:wrapTight wrapText="bothSides">
            <wp:wrapPolygon edited="0">
              <wp:start x="0" y="0"/>
              <wp:lineTo x="0" y="20924"/>
              <wp:lineTo x="21102" y="20924"/>
              <wp:lineTo x="21102" y="0"/>
              <wp:lineTo x="0" y="0"/>
            </wp:wrapPolygon>
          </wp:wrapTight>
          <wp:docPr id="2" name="Image 2" descr="V:\Communication\Charte de communication\Logos\Particuliers\VERTICAL\PRINT\couleur\ca-Toulouse-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mmunication\Charte de communication\Logos\Particuliers\VERTICAL\PRINT\couleur\ca-Toulouse-v-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946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53C1D" w:rsidRPr="00353C1D">
      <w:rPr>
        <w:b/>
        <w:sz w:val="24"/>
        <w:szCs w:val="24"/>
      </w:rPr>
      <w:t xml:space="preserve">PUBLICATION ANNUELLE SUR LA QUALITE D’EXECUTION </w:t>
    </w:r>
  </w:p>
  <w:p w:rsidR="00353C1D" w:rsidRDefault="00353C1D" w:rsidP="003A7D08">
    <w:pPr>
      <w:pStyle w:val="En-tte"/>
      <w:pBdr>
        <w:top w:val="single" w:sz="4" w:space="1" w:color="auto"/>
        <w:left w:val="single" w:sz="4" w:space="4" w:color="auto"/>
        <w:bottom w:val="single" w:sz="4" w:space="16" w:color="auto"/>
        <w:right w:val="single" w:sz="4" w:space="4" w:color="auto"/>
      </w:pBdr>
      <w:jc w:val="right"/>
      <w:rPr>
        <w:b/>
        <w:sz w:val="24"/>
        <w:szCs w:val="24"/>
      </w:rPr>
    </w:pPr>
    <w:r>
      <w:rPr>
        <w:b/>
        <w:sz w:val="24"/>
        <w:szCs w:val="24"/>
      </w:rPr>
      <w:t>OBTENUE AU TITRE DU</w:t>
    </w:r>
    <w:r w:rsidRPr="00353C1D">
      <w:rPr>
        <w:b/>
        <w:sz w:val="24"/>
        <w:szCs w:val="24"/>
      </w:rPr>
      <w:t xml:space="preserve">SERVICE DE RECEPTION ET </w:t>
    </w:r>
  </w:p>
  <w:p w:rsidR="00E71C49" w:rsidRPr="00353C1D" w:rsidRDefault="00353C1D" w:rsidP="003A7D08">
    <w:pPr>
      <w:pStyle w:val="En-tte"/>
      <w:pBdr>
        <w:top w:val="single" w:sz="4" w:space="1" w:color="auto"/>
        <w:left w:val="single" w:sz="4" w:space="4" w:color="auto"/>
        <w:bottom w:val="single" w:sz="4" w:space="16" w:color="auto"/>
        <w:right w:val="single" w:sz="4" w:space="4" w:color="auto"/>
      </w:pBdr>
      <w:jc w:val="right"/>
      <w:rPr>
        <w:b/>
        <w:sz w:val="24"/>
        <w:szCs w:val="24"/>
      </w:rPr>
    </w:pPr>
    <w:r w:rsidRPr="00353C1D">
      <w:rPr>
        <w:b/>
        <w:sz w:val="24"/>
        <w:szCs w:val="24"/>
      </w:rPr>
      <w:t>TRANSMISSION D’ORDRES</w:t>
    </w:r>
  </w:p>
  <w:p w:rsidR="00E71C49" w:rsidRDefault="00E71C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6F1C"/>
    <w:multiLevelType w:val="hybridMultilevel"/>
    <w:tmpl w:val="96F48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F87325"/>
    <w:multiLevelType w:val="hybridMultilevel"/>
    <w:tmpl w:val="B0E23C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B2938CC"/>
    <w:multiLevelType w:val="hybridMultilevel"/>
    <w:tmpl w:val="3162D2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B34A8E"/>
    <w:multiLevelType w:val="hybridMultilevel"/>
    <w:tmpl w:val="0EA055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D893D6E"/>
    <w:multiLevelType w:val="hybridMultilevel"/>
    <w:tmpl w:val="D9C85E6A"/>
    <w:lvl w:ilvl="0" w:tplc="9402AFB2">
      <w:start w:val="1"/>
      <w:numFmt w:val="decimal"/>
      <w:lvlText w:val="(%1)"/>
      <w:lvlJc w:val="left"/>
      <w:pPr>
        <w:tabs>
          <w:tab w:val="num" w:pos="720"/>
        </w:tabs>
        <w:ind w:left="720" w:hanging="360"/>
      </w:pPr>
    </w:lvl>
    <w:lvl w:ilvl="1" w:tplc="F4423960" w:tentative="1">
      <w:start w:val="1"/>
      <w:numFmt w:val="decimal"/>
      <w:lvlText w:val="(%2)"/>
      <w:lvlJc w:val="left"/>
      <w:pPr>
        <w:tabs>
          <w:tab w:val="num" w:pos="1440"/>
        </w:tabs>
        <w:ind w:left="1440" w:hanging="360"/>
      </w:pPr>
    </w:lvl>
    <w:lvl w:ilvl="2" w:tplc="6114CA96" w:tentative="1">
      <w:start w:val="1"/>
      <w:numFmt w:val="decimal"/>
      <w:lvlText w:val="(%3)"/>
      <w:lvlJc w:val="left"/>
      <w:pPr>
        <w:tabs>
          <w:tab w:val="num" w:pos="2160"/>
        </w:tabs>
        <w:ind w:left="2160" w:hanging="360"/>
      </w:pPr>
    </w:lvl>
    <w:lvl w:ilvl="3" w:tplc="77D6BE00" w:tentative="1">
      <w:start w:val="1"/>
      <w:numFmt w:val="decimal"/>
      <w:lvlText w:val="(%4)"/>
      <w:lvlJc w:val="left"/>
      <w:pPr>
        <w:tabs>
          <w:tab w:val="num" w:pos="2880"/>
        </w:tabs>
        <w:ind w:left="2880" w:hanging="360"/>
      </w:pPr>
    </w:lvl>
    <w:lvl w:ilvl="4" w:tplc="B784B0AC" w:tentative="1">
      <w:start w:val="1"/>
      <w:numFmt w:val="decimal"/>
      <w:lvlText w:val="(%5)"/>
      <w:lvlJc w:val="left"/>
      <w:pPr>
        <w:tabs>
          <w:tab w:val="num" w:pos="3600"/>
        </w:tabs>
        <w:ind w:left="3600" w:hanging="360"/>
      </w:pPr>
    </w:lvl>
    <w:lvl w:ilvl="5" w:tplc="3E3003E8" w:tentative="1">
      <w:start w:val="1"/>
      <w:numFmt w:val="decimal"/>
      <w:lvlText w:val="(%6)"/>
      <w:lvlJc w:val="left"/>
      <w:pPr>
        <w:tabs>
          <w:tab w:val="num" w:pos="4320"/>
        </w:tabs>
        <w:ind w:left="4320" w:hanging="360"/>
      </w:pPr>
    </w:lvl>
    <w:lvl w:ilvl="6" w:tplc="182EFDCA" w:tentative="1">
      <w:start w:val="1"/>
      <w:numFmt w:val="decimal"/>
      <w:lvlText w:val="(%7)"/>
      <w:lvlJc w:val="left"/>
      <w:pPr>
        <w:tabs>
          <w:tab w:val="num" w:pos="5040"/>
        </w:tabs>
        <w:ind w:left="5040" w:hanging="360"/>
      </w:pPr>
    </w:lvl>
    <w:lvl w:ilvl="7" w:tplc="ED0A32E4" w:tentative="1">
      <w:start w:val="1"/>
      <w:numFmt w:val="decimal"/>
      <w:lvlText w:val="(%8)"/>
      <w:lvlJc w:val="left"/>
      <w:pPr>
        <w:tabs>
          <w:tab w:val="num" w:pos="5760"/>
        </w:tabs>
        <w:ind w:left="5760" w:hanging="360"/>
      </w:pPr>
    </w:lvl>
    <w:lvl w:ilvl="8" w:tplc="ADB0D464" w:tentative="1">
      <w:start w:val="1"/>
      <w:numFmt w:val="decimal"/>
      <w:lvlText w:val="(%9)"/>
      <w:lvlJc w:val="left"/>
      <w:pPr>
        <w:tabs>
          <w:tab w:val="num" w:pos="6480"/>
        </w:tabs>
        <w:ind w:left="6480" w:hanging="360"/>
      </w:pPr>
    </w:lvl>
  </w:abstractNum>
  <w:abstractNum w:abstractNumId="5">
    <w:nsid w:val="1F2633ED"/>
    <w:multiLevelType w:val="hybridMultilevel"/>
    <w:tmpl w:val="857AFD60"/>
    <w:lvl w:ilvl="0" w:tplc="7B7605AA">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526ADC"/>
    <w:multiLevelType w:val="hybridMultilevel"/>
    <w:tmpl w:val="C09E1B10"/>
    <w:lvl w:ilvl="0" w:tplc="B1F0E4C4">
      <w:start w:val="1"/>
      <w:numFmt w:val="decimal"/>
      <w:lvlText w:val="(%1)"/>
      <w:lvlJc w:val="left"/>
      <w:pPr>
        <w:ind w:left="720" w:hanging="360"/>
      </w:pPr>
      <w:rPr>
        <w:rFonts w:ascii="Arial" w:eastAsia="+mn-ea" w:hAnsi="Arial" w:cs="+mn-cs" w:hint="default"/>
        <w:i/>
        <w:color w:val="2626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1AA0166"/>
    <w:multiLevelType w:val="hybridMultilevel"/>
    <w:tmpl w:val="7DB86D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F3C2892"/>
    <w:multiLevelType w:val="hybridMultilevel"/>
    <w:tmpl w:val="6CEC095A"/>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722A0F3C"/>
    <w:multiLevelType w:val="hybridMultilevel"/>
    <w:tmpl w:val="4DB456C8"/>
    <w:lvl w:ilvl="0" w:tplc="C7BE6836">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7"/>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28"/>
    <w:rsid w:val="00030B23"/>
    <w:rsid w:val="00041D85"/>
    <w:rsid w:val="00041F9D"/>
    <w:rsid w:val="0005117B"/>
    <w:rsid w:val="000547F9"/>
    <w:rsid w:val="00074F43"/>
    <w:rsid w:val="000750E4"/>
    <w:rsid w:val="000A4380"/>
    <w:rsid w:val="000B05AF"/>
    <w:rsid w:val="000B1348"/>
    <w:rsid w:val="000C3C60"/>
    <w:rsid w:val="000F32A9"/>
    <w:rsid w:val="00101E08"/>
    <w:rsid w:val="00154CAA"/>
    <w:rsid w:val="00155C01"/>
    <w:rsid w:val="001853F7"/>
    <w:rsid w:val="00193DD1"/>
    <w:rsid w:val="001C342C"/>
    <w:rsid w:val="001F31F8"/>
    <w:rsid w:val="001F73C7"/>
    <w:rsid w:val="002546D5"/>
    <w:rsid w:val="00263EAB"/>
    <w:rsid w:val="0027471F"/>
    <w:rsid w:val="002779CD"/>
    <w:rsid w:val="00286C19"/>
    <w:rsid w:val="002A6E62"/>
    <w:rsid w:val="002B2240"/>
    <w:rsid w:val="002C2127"/>
    <w:rsid w:val="002C31E3"/>
    <w:rsid w:val="002D5384"/>
    <w:rsid w:val="002E669A"/>
    <w:rsid w:val="002F0E1C"/>
    <w:rsid w:val="002F4656"/>
    <w:rsid w:val="002F513C"/>
    <w:rsid w:val="0031091B"/>
    <w:rsid w:val="003150B8"/>
    <w:rsid w:val="0034266E"/>
    <w:rsid w:val="003427CA"/>
    <w:rsid w:val="00353C1D"/>
    <w:rsid w:val="00354D7D"/>
    <w:rsid w:val="003663D3"/>
    <w:rsid w:val="003A7D08"/>
    <w:rsid w:val="003B3C2A"/>
    <w:rsid w:val="003D060C"/>
    <w:rsid w:val="003D72F6"/>
    <w:rsid w:val="003E0E2E"/>
    <w:rsid w:val="003F0B30"/>
    <w:rsid w:val="0043399C"/>
    <w:rsid w:val="00444F73"/>
    <w:rsid w:val="004674AF"/>
    <w:rsid w:val="00481396"/>
    <w:rsid w:val="00484041"/>
    <w:rsid w:val="004C5A5A"/>
    <w:rsid w:val="004D6A31"/>
    <w:rsid w:val="004E3C22"/>
    <w:rsid w:val="00502531"/>
    <w:rsid w:val="005156E9"/>
    <w:rsid w:val="0054194C"/>
    <w:rsid w:val="00553DB4"/>
    <w:rsid w:val="005875F9"/>
    <w:rsid w:val="005C2C9A"/>
    <w:rsid w:val="005F40C7"/>
    <w:rsid w:val="0061435F"/>
    <w:rsid w:val="0061795E"/>
    <w:rsid w:val="00626D5B"/>
    <w:rsid w:val="006441E4"/>
    <w:rsid w:val="0065463A"/>
    <w:rsid w:val="00654950"/>
    <w:rsid w:val="00684498"/>
    <w:rsid w:val="00692BD9"/>
    <w:rsid w:val="006B46F9"/>
    <w:rsid w:val="006D3773"/>
    <w:rsid w:val="006D7CB8"/>
    <w:rsid w:val="006F01B7"/>
    <w:rsid w:val="006F46B9"/>
    <w:rsid w:val="00703194"/>
    <w:rsid w:val="00715335"/>
    <w:rsid w:val="00736A8C"/>
    <w:rsid w:val="00745E9A"/>
    <w:rsid w:val="00751C45"/>
    <w:rsid w:val="0075275A"/>
    <w:rsid w:val="00781AB9"/>
    <w:rsid w:val="007A310D"/>
    <w:rsid w:val="007C02CD"/>
    <w:rsid w:val="007C7D5C"/>
    <w:rsid w:val="007F2DC0"/>
    <w:rsid w:val="00803592"/>
    <w:rsid w:val="00820726"/>
    <w:rsid w:val="00822E9D"/>
    <w:rsid w:val="00826488"/>
    <w:rsid w:val="008352AE"/>
    <w:rsid w:val="008A53EE"/>
    <w:rsid w:val="008B1D2B"/>
    <w:rsid w:val="008B7C2B"/>
    <w:rsid w:val="008C42D5"/>
    <w:rsid w:val="008C6BD3"/>
    <w:rsid w:val="008F77F8"/>
    <w:rsid w:val="00914181"/>
    <w:rsid w:val="00917B7D"/>
    <w:rsid w:val="0092420E"/>
    <w:rsid w:val="00935010"/>
    <w:rsid w:val="00960532"/>
    <w:rsid w:val="009A2442"/>
    <w:rsid w:val="009C2198"/>
    <w:rsid w:val="009C3D8A"/>
    <w:rsid w:val="009E12AF"/>
    <w:rsid w:val="009E1B87"/>
    <w:rsid w:val="009F1763"/>
    <w:rsid w:val="00A74ECB"/>
    <w:rsid w:val="00A87B05"/>
    <w:rsid w:val="00A96ACF"/>
    <w:rsid w:val="00A96FE9"/>
    <w:rsid w:val="00AC5A24"/>
    <w:rsid w:val="00AF33EA"/>
    <w:rsid w:val="00B23E69"/>
    <w:rsid w:val="00B42AA6"/>
    <w:rsid w:val="00C57DA3"/>
    <w:rsid w:val="00C57FDC"/>
    <w:rsid w:val="00C733D6"/>
    <w:rsid w:val="00C76365"/>
    <w:rsid w:val="00C8168F"/>
    <w:rsid w:val="00CA1B99"/>
    <w:rsid w:val="00CB73C8"/>
    <w:rsid w:val="00CD503E"/>
    <w:rsid w:val="00CD7A5E"/>
    <w:rsid w:val="00CF7933"/>
    <w:rsid w:val="00D03F66"/>
    <w:rsid w:val="00D24B1F"/>
    <w:rsid w:val="00D72D08"/>
    <w:rsid w:val="00D8177A"/>
    <w:rsid w:val="00D87FC9"/>
    <w:rsid w:val="00DA76D8"/>
    <w:rsid w:val="00DB34B3"/>
    <w:rsid w:val="00DD3338"/>
    <w:rsid w:val="00DD43A6"/>
    <w:rsid w:val="00DF7E2B"/>
    <w:rsid w:val="00E019B7"/>
    <w:rsid w:val="00E11059"/>
    <w:rsid w:val="00E418BF"/>
    <w:rsid w:val="00E6082A"/>
    <w:rsid w:val="00E614FB"/>
    <w:rsid w:val="00E71C49"/>
    <w:rsid w:val="00E74E79"/>
    <w:rsid w:val="00E83ECB"/>
    <w:rsid w:val="00ED2150"/>
    <w:rsid w:val="00EE6021"/>
    <w:rsid w:val="00F028B2"/>
    <w:rsid w:val="00F131CA"/>
    <w:rsid w:val="00F135B8"/>
    <w:rsid w:val="00F17E28"/>
    <w:rsid w:val="00F60860"/>
    <w:rsid w:val="00F7002E"/>
    <w:rsid w:val="00F80BFC"/>
    <w:rsid w:val="00F83D10"/>
    <w:rsid w:val="00F91F00"/>
    <w:rsid w:val="00F92B2D"/>
    <w:rsid w:val="00FA411D"/>
    <w:rsid w:val="00FB7237"/>
    <w:rsid w:val="00FC4D5D"/>
    <w:rsid w:val="00FD01DE"/>
    <w:rsid w:val="00FD1175"/>
    <w:rsid w:val="00FE1543"/>
    <w:rsid w:val="00FF00CE"/>
    <w:rsid w:val="00FF6F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customStyle="1" w:styleId="ecrans">
    <w:name w:val="ecrans"/>
    <w:basedOn w:val="Normal"/>
    <w:next w:val="Normal"/>
    <w:pPr>
      <w:pBdr>
        <w:top w:val="double" w:sz="6" w:space="1" w:color="auto"/>
        <w:left w:val="double" w:sz="6" w:space="1" w:color="auto"/>
        <w:bottom w:val="double" w:sz="6" w:space="1" w:color="auto"/>
        <w:right w:val="double" w:sz="6" w:space="1" w:color="auto"/>
      </w:pBdr>
      <w:tabs>
        <w:tab w:val="right" w:pos="9072"/>
      </w:tabs>
      <w:ind w:left="1418" w:right="1418"/>
    </w:pPr>
    <w:rPr>
      <w:rFonts w:ascii="Courier New" w:hAnsi="Courier New"/>
      <w:sz w:val="14"/>
    </w:rPr>
  </w:style>
  <w:style w:type="paragraph" w:customStyle="1" w:styleId="Normal1">
    <w:name w:val="Normal 1"/>
    <w:basedOn w:val="Normal"/>
    <w:pPr>
      <w:ind w:left="1418" w:firstLine="510"/>
      <w:jc w:val="both"/>
    </w:pPr>
    <w:rPr>
      <w:sz w:val="24"/>
    </w:rPr>
  </w:style>
  <w:style w:type="character" w:styleId="Lienhypertexte">
    <w:name w:val="Hyperlink"/>
    <w:rPr>
      <w:color w:val="0000FF"/>
      <w:u w:val="single"/>
    </w:rPr>
  </w:style>
  <w:style w:type="paragraph" w:styleId="En-tte">
    <w:name w:val="header"/>
    <w:basedOn w:val="Normal"/>
    <w:link w:val="En-tteCar"/>
    <w:uiPriority w:val="99"/>
    <w:pPr>
      <w:tabs>
        <w:tab w:val="center" w:pos="4536"/>
        <w:tab w:val="right" w:pos="9072"/>
      </w:tabs>
    </w:pPr>
  </w:style>
  <w:style w:type="paragraph" w:styleId="Explorateurdedocuments">
    <w:name w:val="Document Map"/>
    <w:basedOn w:val="Normal"/>
    <w:semiHidden/>
    <w:pPr>
      <w:shd w:val="clear" w:color="auto" w:fill="C6D5EC"/>
    </w:pPr>
    <w:rPr>
      <w:rFonts w:ascii="Lucida Grande" w:hAnsi="Lucida Grande"/>
      <w:sz w:val="24"/>
      <w:szCs w:val="24"/>
    </w:rPr>
  </w:style>
  <w:style w:type="paragraph" w:customStyle="1" w:styleId="Pa3">
    <w:name w:val="Pa3"/>
    <w:basedOn w:val="Normal"/>
    <w:next w:val="Normal"/>
    <w:pPr>
      <w:widowControl w:val="0"/>
      <w:autoSpaceDE w:val="0"/>
      <w:autoSpaceDN w:val="0"/>
      <w:adjustRightInd w:val="0"/>
      <w:spacing w:line="241" w:lineRule="atLeast"/>
    </w:pPr>
    <w:rPr>
      <w:rFonts w:ascii="Century Gothic" w:hAnsi="Century Gothic"/>
      <w:sz w:val="24"/>
      <w:szCs w:val="24"/>
    </w:rPr>
  </w:style>
  <w:style w:type="character" w:customStyle="1" w:styleId="A1">
    <w:name w:val="A1"/>
    <w:rPr>
      <w:b/>
      <w:color w:val="160D12"/>
      <w:sz w:val="15"/>
      <w:szCs w:val="15"/>
    </w:rPr>
  </w:style>
  <w:style w:type="paragraph" w:customStyle="1" w:styleId="Default">
    <w:name w:val="Default"/>
    <w:pPr>
      <w:widowControl w:val="0"/>
      <w:autoSpaceDE w:val="0"/>
      <w:autoSpaceDN w:val="0"/>
      <w:adjustRightInd w:val="0"/>
    </w:pPr>
    <w:rPr>
      <w:rFonts w:ascii="Century Gothic" w:hAnsi="Century Gothic"/>
      <w:color w:val="000000"/>
      <w:sz w:val="24"/>
      <w:szCs w:val="24"/>
    </w:rPr>
  </w:style>
  <w:style w:type="character" w:customStyle="1" w:styleId="A0">
    <w:name w:val="A0"/>
    <w:rPr>
      <w:color w:val="160D12"/>
      <w:sz w:val="18"/>
      <w:szCs w:val="18"/>
    </w:rPr>
  </w:style>
  <w:style w:type="paragraph" w:customStyle="1" w:styleId="Pa1">
    <w:name w:val="Pa1"/>
    <w:basedOn w:val="Default"/>
    <w:next w:val="Default"/>
    <w:pPr>
      <w:spacing w:line="241" w:lineRule="atLeast"/>
    </w:pPr>
    <w:rPr>
      <w:color w:val="auto"/>
    </w:rPr>
  </w:style>
  <w:style w:type="paragraph" w:styleId="Textedebulles">
    <w:name w:val="Balloon Text"/>
    <w:basedOn w:val="Normal"/>
    <w:semiHidden/>
    <w:rsid w:val="00D72D08"/>
    <w:rPr>
      <w:rFonts w:ascii="Tahoma" w:hAnsi="Tahoma" w:cs="Tahoma"/>
      <w:sz w:val="16"/>
      <w:szCs w:val="16"/>
    </w:rPr>
  </w:style>
  <w:style w:type="table" w:styleId="Grilledutableau">
    <w:name w:val="Table Grid"/>
    <w:basedOn w:val="TableauNormal"/>
    <w:rsid w:val="00D72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81396"/>
    <w:pPr>
      <w:ind w:left="720"/>
    </w:pPr>
    <w:rPr>
      <w:rFonts w:ascii="Calibri" w:eastAsiaTheme="minorHAnsi" w:hAnsi="Calibri"/>
      <w:sz w:val="22"/>
      <w:szCs w:val="22"/>
      <w:lang w:eastAsia="en-US"/>
    </w:rPr>
  </w:style>
  <w:style w:type="character" w:customStyle="1" w:styleId="En-tteCar">
    <w:name w:val="En-tête Car"/>
    <w:basedOn w:val="Policepardfaut"/>
    <w:link w:val="En-tte"/>
    <w:uiPriority w:val="99"/>
    <w:rsid w:val="00E71C49"/>
  </w:style>
  <w:style w:type="paragraph" w:styleId="Notedebasdepage">
    <w:name w:val="footnote text"/>
    <w:basedOn w:val="Normal"/>
    <w:link w:val="NotedebasdepageCar"/>
    <w:uiPriority w:val="99"/>
    <w:rsid w:val="0043399C"/>
    <w:pPr>
      <w:spacing w:after="120"/>
      <w:jc w:val="both"/>
    </w:pPr>
    <w:rPr>
      <w:rFonts w:ascii="Arial" w:hAnsi="Arial" w:cs="Calibri"/>
      <w:sz w:val="22"/>
      <w:szCs w:val="22"/>
      <w:lang w:eastAsia="ar-SA"/>
    </w:rPr>
  </w:style>
  <w:style w:type="character" w:customStyle="1" w:styleId="NotedebasdepageCar">
    <w:name w:val="Note de bas de page Car"/>
    <w:basedOn w:val="Policepardfaut"/>
    <w:link w:val="Notedebasdepage"/>
    <w:uiPriority w:val="99"/>
    <w:rsid w:val="0043399C"/>
    <w:rPr>
      <w:rFonts w:ascii="Arial" w:hAnsi="Arial" w:cs="Calibri"/>
      <w:sz w:val="22"/>
      <w:szCs w:val="22"/>
      <w:lang w:eastAsia="ar-SA"/>
    </w:rPr>
  </w:style>
  <w:style w:type="paragraph" w:styleId="NormalWeb">
    <w:name w:val="Normal (Web)"/>
    <w:basedOn w:val="Normal"/>
    <w:uiPriority w:val="99"/>
    <w:semiHidden/>
    <w:unhideWhenUsed/>
    <w:rsid w:val="00781AB9"/>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customStyle="1" w:styleId="ecrans">
    <w:name w:val="ecrans"/>
    <w:basedOn w:val="Normal"/>
    <w:next w:val="Normal"/>
    <w:pPr>
      <w:pBdr>
        <w:top w:val="double" w:sz="6" w:space="1" w:color="auto"/>
        <w:left w:val="double" w:sz="6" w:space="1" w:color="auto"/>
        <w:bottom w:val="double" w:sz="6" w:space="1" w:color="auto"/>
        <w:right w:val="double" w:sz="6" w:space="1" w:color="auto"/>
      </w:pBdr>
      <w:tabs>
        <w:tab w:val="right" w:pos="9072"/>
      </w:tabs>
      <w:ind w:left="1418" w:right="1418"/>
    </w:pPr>
    <w:rPr>
      <w:rFonts w:ascii="Courier New" w:hAnsi="Courier New"/>
      <w:sz w:val="14"/>
    </w:rPr>
  </w:style>
  <w:style w:type="paragraph" w:customStyle="1" w:styleId="Normal1">
    <w:name w:val="Normal 1"/>
    <w:basedOn w:val="Normal"/>
    <w:pPr>
      <w:ind w:left="1418" w:firstLine="510"/>
      <w:jc w:val="both"/>
    </w:pPr>
    <w:rPr>
      <w:sz w:val="24"/>
    </w:rPr>
  </w:style>
  <w:style w:type="character" w:styleId="Lienhypertexte">
    <w:name w:val="Hyperlink"/>
    <w:rPr>
      <w:color w:val="0000FF"/>
      <w:u w:val="single"/>
    </w:rPr>
  </w:style>
  <w:style w:type="paragraph" w:styleId="En-tte">
    <w:name w:val="header"/>
    <w:basedOn w:val="Normal"/>
    <w:link w:val="En-tteCar"/>
    <w:uiPriority w:val="99"/>
    <w:pPr>
      <w:tabs>
        <w:tab w:val="center" w:pos="4536"/>
        <w:tab w:val="right" w:pos="9072"/>
      </w:tabs>
    </w:pPr>
  </w:style>
  <w:style w:type="paragraph" w:styleId="Explorateurdedocuments">
    <w:name w:val="Document Map"/>
    <w:basedOn w:val="Normal"/>
    <w:semiHidden/>
    <w:pPr>
      <w:shd w:val="clear" w:color="auto" w:fill="C6D5EC"/>
    </w:pPr>
    <w:rPr>
      <w:rFonts w:ascii="Lucida Grande" w:hAnsi="Lucida Grande"/>
      <w:sz w:val="24"/>
      <w:szCs w:val="24"/>
    </w:rPr>
  </w:style>
  <w:style w:type="paragraph" w:customStyle="1" w:styleId="Pa3">
    <w:name w:val="Pa3"/>
    <w:basedOn w:val="Normal"/>
    <w:next w:val="Normal"/>
    <w:pPr>
      <w:widowControl w:val="0"/>
      <w:autoSpaceDE w:val="0"/>
      <w:autoSpaceDN w:val="0"/>
      <w:adjustRightInd w:val="0"/>
      <w:spacing w:line="241" w:lineRule="atLeast"/>
    </w:pPr>
    <w:rPr>
      <w:rFonts w:ascii="Century Gothic" w:hAnsi="Century Gothic"/>
      <w:sz w:val="24"/>
      <w:szCs w:val="24"/>
    </w:rPr>
  </w:style>
  <w:style w:type="character" w:customStyle="1" w:styleId="A1">
    <w:name w:val="A1"/>
    <w:rPr>
      <w:b/>
      <w:color w:val="160D12"/>
      <w:sz w:val="15"/>
      <w:szCs w:val="15"/>
    </w:rPr>
  </w:style>
  <w:style w:type="paragraph" w:customStyle="1" w:styleId="Default">
    <w:name w:val="Default"/>
    <w:pPr>
      <w:widowControl w:val="0"/>
      <w:autoSpaceDE w:val="0"/>
      <w:autoSpaceDN w:val="0"/>
      <w:adjustRightInd w:val="0"/>
    </w:pPr>
    <w:rPr>
      <w:rFonts w:ascii="Century Gothic" w:hAnsi="Century Gothic"/>
      <w:color w:val="000000"/>
      <w:sz w:val="24"/>
      <w:szCs w:val="24"/>
    </w:rPr>
  </w:style>
  <w:style w:type="character" w:customStyle="1" w:styleId="A0">
    <w:name w:val="A0"/>
    <w:rPr>
      <w:color w:val="160D12"/>
      <w:sz w:val="18"/>
      <w:szCs w:val="18"/>
    </w:rPr>
  </w:style>
  <w:style w:type="paragraph" w:customStyle="1" w:styleId="Pa1">
    <w:name w:val="Pa1"/>
    <w:basedOn w:val="Default"/>
    <w:next w:val="Default"/>
    <w:pPr>
      <w:spacing w:line="241" w:lineRule="atLeast"/>
    </w:pPr>
    <w:rPr>
      <w:color w:val="auto"/>
    </w:rPr>
  </w:style>
  <w:style w:type="paragraph" w:styleId="Textedebulles">
    <w:name w:val="Balloon Text"/>
    <w:basedOn w:val="Normal"/>
    <w:semiHidden/>
    <w:rsid w:val="00D72D08"/>
    <w:rPr>
      <w:rFonts w:ascii="Tahoma" w:hAnsi="Tahoma" w:cs="Tahoma"/>
      <w:sz w:val="16"/>
      <w:szCs w:val="16"/>
    </w:rPr>
  </w:style>
  <w:style w:type="table" w:styleId="Grilledutableau">
    <w:name w:val="Table Grid"/>
    <w:basedOn w:val="TableauNormal"/>
    <w:rsid w:val="00D72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81396"/>
    <w:pPr>
      <w:ind w:left="720"/>
    </w:pPr>
    <w:rPr>
      <w:rFonts w:ascii="Calibri" w:eastAsiaTheme="minorHAnsi" w:hAnsi="Calibri"/>
      <w:sz w:val="22"/>
      <w:szCs w:val="22"/>
      <w:lang w:eastAsia="en-US"/>
    </w:rPr>
  </w:style>
  <w:style w:type="character" w:customStyle="1" w:styleId="En-tteCar">
    <w:name w:val="En-tête Car"/>
    <w:basedOn w:val="Policepardfaut"/>
    <w:link w:val="En-tte"/>
    <w:uiPriority w:val="99"/>
    <w:rsid w:val="00E71C49"/>
  </w:style>
  <w:style w:type="paragraph" w:styleId="Notedebasdepage">
    <w:name w:val="footnote text"/>
    <w:basedOn w:val="Normal"/>
    <w:link w:val="NotedebasdepageCar"/>
    <w:uiPriority w:val="99"/>
    <w:rsid w:val="0043399C"/>
    <w:pPr>
      <w:spacing w:after="120"/>
      <w:jc w:val="both"/>
    </w:pPr>
    <w:rPr>
      <w:rFonts w:ascii="Arial" w:hAnsi="Arial" w:cs="Calibri"/>
      <w:sz w:val="22"/>
      <w:szCs w:val="22"/>
      <w:lang w:eastAsia="ar-SA"/>
    </w:rPr>
  </w:style>
  <w:style w:type="character" w:customStyle="1" w:styleId="NotedebasdepageCar">
    <w:name w:val="Note de bas de page Car"/>
    <w:basedOn w:val="Policepardfaut"/>
    <w:link w:val="Notedebasdepage"/>
    <w:uiPriority w:val="99"/>
    <w:rsid w:val="0043399C"/>
    <w:rPr>
      <w:rFonts w:ascii="Arial" w:hAnsi="Arial" w:cs="Calibri"/>
      <w:sz w:val="22"/>
      <w:szCs w:val="22"/>
      <w:lang w:eastAsia="ar-SA"/>
    </w:rPr>
  </w:style>
  <w:style w:type="paragraph" w:styleId="NormalWeb">
    <w:name w:val="Normal (Web)"/>
    <w:basedOn w:val="Normal"/>
    <w:uiPriority w:val="99"/>
    <w:semiHidden/>
    <w:unhideWhenUsed/>
    <w:rsid w:val="00781AB9"/>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0419">
      <w:bodyDiv w:val="1"/>
      <w:marLeft w:val="0"/>
      <w:marRight w:val="0"/>
      <w:marTop w:val="0"/>
      <w:marBottom w:val="0"/>
      <w:divBdr>
        <w:top w:val="none" w:sz="0" w:space="0" w:color="auto"/>
        <w:left w:val="none" w:sz="0" w:space="0" w:color="auto"/>
        <w:bottom w:val="none" w:sz="0" w:space="0" w:color="auto"/>
        <w:right w:val="none" w:sz="0" w:space="0" w:color="auto"/>
      </w:divBdr>
    </w:div>
    <w:div w:id="14236186">
      <w:bodyDiv w:val="1"/>
      <w:marLeft w:val="0"/>
      <w:marRight w:val="0"/>
      <w:marTop w:val="0"/>
      <w:marBottom w:val="0"/>
      <w:divBdr>
        <w:top w:val="none" w:sz="0" w:space="0" w:color="auto"/>
        <w:left w:val="none" w:sz="0" w:space="0" w:color="auto"/>
        <w:bottom w:val="none" w:sz="0" w:space="0" w:color="auto"/>
        <w:right w:val="none" w:sz="0" w:space="0" w:color="auto"/>
      </w:divBdr>
    </w:div>
    <w:div w:id="73672945">
      <w:bodyDiv w:val="1"/>
      <w:marLeft w:val="0"/>
      <w:marRight w:val="0"/>
      <w:marTop w:val="0"/>
      <w:marBottom w:val="0"/>
      <w:divBdr>
        <w:top w:val="none" w:sz="0" w:space="0" w:color="auto"/>
        <w:left w:val="none" w:sz="0" w:space="0" w:color="auto"/>
        <w:bottom w:val="none" w:sz="0" w:space="0" w:color="auto"/>
        <w:right w:val="none" w:sz="0" w:space="0" w:color="auto"/>
      </w:divBdr>
    </w:div>
    <w:div w:id="131296105">
      <w:bodyDiv w:val="1"/>
      <w:marLeft w:val="0"/>
      <w:marRight w:val="0"/>
      <w:marTop w:val="0"/>
      <w:marBottom w:val="0"/>
      <w:divBdr>
        <w:top w:val="none" w:sz="0" w:space="0" w:color="auto"/>
        <w:left w:val="none" w:sz="0" w:space="0" w:color="auto"/>
        <w:bottom w:val="none" w:sz="0" w:space="0" w:color="auto"/>
        <w:right w:val="none" w:sz="0" w:space="0" w:color="auto"/>
      </w:divBdr>
    </w:div>
    <w:div w:id="373893515">
      <w:bodyDiv w:val="1"/>
      <w:marLeft w:val="0"/>
      <w:marRight w:val="0"/>
      <w:marTop w:val="0"/>
      <w:marBottom w:val="0"/>
      <w:divBdr>
        <w:top w:val="none" w:sz="0" w:space="0" w:color="auto"/>
        <w:left w:val="none" w:sz="0" w:space="0" w:color="auto"/>
        <w:bottom w:val="none" w:sz="0" w:space="0" w:color="auto"/>
        <w:right w:val="none" w:sz="0" w:space="0" w:color="auto"/>
      </w:divBdr>
    </w:div>
    <w:div w:id="424770962">
      <w:bodyDiv w:val="1"/>
      <w:marLeft w:val="0"/>
      <w:marRight w:val="0"/>
      <w:marTop w:val="0"/>
      <w:marBottom w:val="0"/>
      <w:divBdr>
        <w:top w:val="none" w:sz="0" w:space="0" w:color="auto"/>
        <w:left w:val="none" w:sz="0" w:space="0" w:color="auto"/>
        <w:bottom w:val="none" w:sz="0" w:space="0" w:color="auto"/>
        <w:right w:val="none" w:sz="0" w:space="0" w:color="auto"/>
      </w:divBdr>
    </w:div>
    <w:div w:id="438455146">
      <w:bodyDiv w:val="1"/>
      <w:marLeft w:val="0"/>
      <w:marRight w:val="0"/>
      <w:marTop w:val="0"/>
      <w:marBottom w:val="0"/>
      <w:divBdr>
        <w:top w:val="none" w:sz="0" w:space="0" w:color="auto"/>
        <w:left w:val="none" w:sz="0" w:space="0" w:color="auto"/>
        <w:bottom w:val="none" w:sz="0" w:space="0" w:color="auto"/>
        <w:right w:val="none" w:sz="0" w:space="0" w:color="auto"/>
      </w:divBdr>
    </w:div>
    <w:div w:id="489442112">
      <w:bodyDiv w:val="1"/>
      <w:marLeft w:val="0"/>
      <w:marRight w:val="0"/>
      <w:marTop w:val="0"/>
      <w:marBottom w:val="0"/>
      <w:divBdr>
        <w:top w:val="none" w:sz="0" w:space="0" w:color="auto"/>
        <w:left w:val="none" w:sz="0" w:space="0" w:color="auto"/>
        <w:bottom w:val="none" w:sz="0" w:space="0" w:color="auto"/>
        <w:right w:val="none" w:sz="0" w:space="0" w:color="auto"/>
      </w:divBdr>
    </w:div>
    <w:div w:id="496187679">
      <w:bodyDiv w:val="1"/>
      <w:marLeft w:val="0"/>
      <w:marRight w:val="0"/>
      <w:marTop w:val="0"/>
      <w:marBottom w:val="0"/>
      <w:divBdr>
        <w:top w:val="none" w:sz="0" w:space="0" w:color="auto"/>
        <w:left w:val="none" w:sz="0" w:space="0" w:color="auto"/>
        <w:bottom w:val="none" w:sz="0" w:space="0" w:color="auto"/>
        <w:right w:val="none" w:sz="0" w:space="0" w:color="auto"/>
      </w:divBdr>
    </w:div>
    <w:div w:id="611598730">
      <w:bodyDiv w:val="1"/>
      <w:marLeft w:val="0"/>
      <w:marRight w:val="0"/>
      <w:marTop w:val="0"/>
      <w:marBottom w:val="0"/>
      <w:divBdr>
        <w:top w:val="none" w:sz="0" w:space="0" w:color="auto"/>
        <w:left w:val="none" w:sz="0" w:space="0" w:color="auto"/>
        <w:bottom w:val="none" w:sz="0" w:space="0" w:color="auto"/>
        <w:right w:val="none" w:sz="0" w:space="0" w:color="auto"/>
      </w:divBdr>
    </w:div>
    <w:div w:id="646085297">
      <w:bodyDiv w:val="1"/>
      <w:marLeft w:val="0"/>
      <w:marRight w:val="0"/>
      <w:marTop w:val="0"/>
      <w:marBottom w:val="0"/>
      <w:divBdr>
        <w:top w:val="none" w:sz="0" w:space="0" w:color="auto"/>
        <w:left w:val="none" w:sz="0" w:space="0" w:color="auto"/>
        <w:bottom w:val="none" w:sz="0" w:space="0" w:color="auto"/>
        <w:right w:val="none" w:sz="0" w:space="0" w:color="auto"/>
      </w:divBdr>
    </w:div>
    <w:div w:id="699937907">
      <w:bodyDiv w:val="1"/>
      <w:marLeft w:val="0"/>
      <w:marRight w:val="0"/>
      <w:marTop w:val="0"/>
      <w:marBottom w:val="0"/>
      <w:divBdr>
        <w:top w:val="none" w:sz="0" w:space="0" w:color="auto"/>
        <w:left w:val="none" w:sz="0" w:space="0" w:color="auto"/>
        <w:bottom w:val="none" w:sz="0" w:space="0" w:color="auto"/>
        <w:right w:val="none" w:sz="0" w:space="0" w:color="auto"/>
      </w:divBdr>
    </w:div>
    <w:div w:id="1347518397">
      <w:bodyDiv w:val="1"/>
      <w:marLeft w:val="0"/>
      <w:marRight w:val="0"/>
      <w:marTop w:val="0"/>
      <w:marBottom w:val="0"/>
      <w:divBdr>
        <w:top w:val="none" w:sz="0" w:space="0" w:color="auto"/>
        <w:left w:val="none" w:sz="0" w:space="0" w:color="auto"/>
        <w:bottom w:val="none" w:sz="0" w:space="0" w:color="auto"/>
        <w:right w:val="none" w:sz="0" w:space="0" w:color="auto"/>
      </w:divBdr>
    </w:div>
    <w:div w:id="1357124625">
      <w:bodyDiv w:val="1"/>
      <w:marLeft w:val="0"/>
      <w:marRight w:val="0"/>
      <w:marTop w:val="0"/>
      <w:marBottom w:val="0"/>
      <w:divBdr>
        <w:top w:val="none" w:sz="0" w:space="0" w:color="auto"/>
        <w:left w:val="none" w:sz="0" w:space="0" w:color="auto"/>
        <w:bottom w:val="none" w:sz="0" w:space="0" w:color="auto"/>
        <w:right w:val="none" w:sz="0" w:space="0" w:color="auto"/>
      </w:divBdr>
    </w:div>
    <w:div w:id="1660498751">
      <w:bodyDiv w:val="1"/>
      <w:marLeft w:val="0"/>
      <w:marRight w:val="0"/>
      <w:marTop w:val="0"/>
      <w:marBottom w:val="0"/>
      <w:divBdr>
        <w:top w:val="none" w:sz="0" w:space="0" w:color="auto"/>
        <w:left w:val="none" w:sz="0" w:space="0" w:color="auto"/>
        <w:bottom w:val="none" w:sz="0" w:space="0" w:color="auto"/>
        <w:right w:val="none" w:sz="0" w:space="0" w:color="auto"/>
      </w:divBdr>
    </w:div>
    <w:div w:id="1680234234">
      <w:bodyDiv w:val="1"/>
      <w:marLeft w:val="0"/>
      <w:marRight w:val="0"/>
      <w:marTop w:val="0"/>
      <w:marBottom w:val="0"/>
      <w:divBdr>
        <w:top w:val="none" w:sz="0" w:space="0" w:color="auto"/>
        <w:left w:val="none" w:sz="0" w:space="0" w:color="auto"/>
        <w:bottom w:val="none" w:sz="0" w:space="0" w:color="auto"/>
        <w:right w:val="none" w:sz="0" w:space="0" w:color="auto"/>
      </w:divBdr>
    </w:div>
    <w:div w:id="1702585675">
      <w:bodyDiv w:val="1"/>
      <w:marLeft w:val="0"/>
      <w:marRight w:val="0"/>
      <w:marTop w:val="0"/>
      <w:marBottom w:val="0"/>
      <w:divBdr>
        <w:top w:val="none" w:sz="0" w:space="0" w:color="auto"/>
        <w:left w:val="none" w:sz="0" w:space="0" w:color="auto"/>
        <w:bottom w:val="none" w:sz="0" w:space="0" w:color="auto"/>
        <w:right w:val="none" w:sz="0" w:space="0" w:color="auto"/>
      </w:divBdr>
    </w:div>
    <w:div w:id="1764641333">
      <w:bodyDiv w:val="1"/>
      <w:marLeft w:val="0"/>
      <w:marRight w:val="0"/>
      <w:marTop w:val="0"/>
      <w:marBottom w:val="0"/>
      <w:divBdr>
        <w:top w:val="none" w:sz="0" w:space="0" w:color="auto"/>
        <w:left w:val="none" w:sz="0" w:space="0" w:color="auto"/>
        <w:bottom w:val="none" w:sz="0" w:space="0" w:color="auto"/>
        <w:right w:val="none" w:sz="0" w:space="0" w:color="auto"/>
      </w:divBdr>
    </w:div>
    <w:div w:id="1816986988">
      <w:bodyDiv w:val="1"/>
      <w:marLeft w:val="0"/>
      <w:marRight w:val="0"/>
      <w:marTop w:val="0"/>
      <w:marBottom w:val="0"/>
      <w:divBdr>
        <w:top w:val="none" w:sz="0" w:space="0" w:color="auto"/>
        <w:left w:val="none" w:sz="0" w:space="0" w:color="auto"/>
        <w:bottom w:val="none" w:sz="0" w:space="0" w:color="auto"/>
        <w:right w:val="none" w:sz="0" w:space="0" w:color="auto"/>
      </w:divBdr>
      <w:divsChild>
        <w:div w:id="1975404028">
          <w:marLeft w:val="360"/>
          <w:marRight w:val="0"/>
          <w:marTop w:val="0"/>
          <w:marBottom w:val="0"/>
          <w:divBdr>
            <w:top w:val="none" w:sz="0" w:space="0" w:color="auto"/>
            <w:left w:val="none" w:sz="0" w:space="0" w:color="auto"/>
            <w:bottom w:val="none" w:sz="0" w:space="0" w:color="auto"/>
            <w:right w:val="none" w:sz="0" w:space="0" w:color="auto"/>
          </w:divBdr>
        </w:div>
      </w:divsChild>
    </w:div>
    <w:div w:id="1904481290">
      <w:bodyDiv w:val="1"/>
      <w:marLeft w:val="0"/>
      <w:marRight w:val="0"/>
      <w:marTop w:val="0"/>
      <w:marBottom w:val="0"/>
      <w:divBdr>
        <w:top w:val="none" w:sz="0" w:space="0" w:color="auto"/>
        <w:left w:val="none" w:sz="0" w:space="0" w:color="auto"/>
        <w:bottom w:val="none" w:sz="0" w:space="0" w:color="auto"/>
        <w:right w:val="none" w:sz="0" w:space="0" w:color="auto"/>
      </w:divBdr>
      <w:divsChild>
        <w:div w:id="798230331">
          <w:marLeft w:val="360"/>
          <w:marRight w:val="0"/>
          <w:marTop w:val="0"/>
          <w:marBottom w:val="0"/>
          <w:divBdr>
            <w:top w:val="none" w:sz="0" w:space="0" w:color="auto"/>
            <w:left w:val="none" w:sz="0" w:space="0" w:color="auto"/>
            <w:bottom w:val="none" w:sz="0" w:space="0" w:color="auto"/>
            <w:right w:val="none" w:sz="0" w:space="0" w:color="auto"/>
          </w:divBdr>
        </w:div>
      </w:divsChild>
    </w:div>
    <w:div w:id="200986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ca-sudmed.fr/Vitrine/ObjCommun/Fic/SudMed/V3/Politique_meilleure_executio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E0D14-5B93-442E-851B-6E94C52A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2305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Lettres type CA Titres</vt:lpstr>
    </vt:vector>
  </TitlesOfParts>
  <Company>CA Titres</Company>
  <LinksUpToDate>false</LinksUpToDate>
  <CharactersWithSpaces>2719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Lettres type CA Titres</dc:title>
  <dc:creator>Corinne BAILLY</dc:creator>
  <cp:lastModifiedBy>MAGERE Amandine</cp:lastModifiedBy>
  <cp:revision>2</cp:revision>
  <cp:lastPrinted>2019-04-03T14:51:00Z</cp:lastPrinted>
  <dcterms:created xsi:type="dcterms:W3CDTF">2019-05-17T13:11:00Z</dcterms:created>
  <dcterms:modified xsi:type="dcterms:W3CDTF">2019-05-17T13:11:00Z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-488159095</vt:i4>
  </property>
  <property fmtid="{D5CDD505-2E9C-101B-9397-08002B2CF9AE}" pid="4" name="_EmailSubject">
    <vt:lpwstr>MIF 2 : diffusion  du mode opératoire RTS 28</vt:lpwstr>
  </property>
  <property fmtid="{D5CDD505-2E9C-101B-9397-08002B2CF9AE}" pid="5" name="_AuthorEmail">
    <vt:lpwstr>pierre.detorres@ca-sudmed.fr</vt:lpwstr>
  </property>
  <property fmtid="{D5CDD505-2E9C-101B-9397-08002B2CF9AE}" pid="6" name="_AuthorEmailDisplayName">
    <vt:lpwstr>DE TORRES Pierre</vt:lpwstr>
  </property>
  <property fmtid="{D5CDD505-2E9C-101B-9397-08002B2CF9AE}" pid="7" name="_ReviewingToolsShownOnce">
    <vt:lpwstr/>
  </property>
</Properties>
</file>